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png" ContentType="image/png"/>
  <Override PartName="/word/media/image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OPERATIONS · PORT OF SOHAR · BERTH B-6</w:t>
      </w:r>
    </w:p>
    <w:bookmarkStart w:id="20" w:name="aluminium-export-time-utilisation-review"/>
    <w:p>
      <w:pPr>
        <w:pStyle w:val="Heading1"/>
      </w:pPr>
      <w:r>
        <w:t xml:space="preserve">Aluminium Export — Time Utilisation Review</w:t>
      </w:r>
    </w:p>
    <w:p>
      <w:pPr>
        <w:pStyle w:val="FirstParagraph"/>
      </w:pPr>
      <w:r>
        <w:t xml:space="preserve">Four vessel calls, April to July 2026. Where the working hours went, recorded</w:t>
      </w:r>
      <w:r>
        <w:t xml:space="preserve"> </w:t>
      </w:r>
      <w:r>
        <w:t xml:space="preserve">shift by shift.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Observed</w:t>
            </w:r>
          </w:p>
        </w:tc>
        <w:tc>
          <w:tcPr/>
          <w:p>
            <w:pPr>
              <w:pStyle w:val="Compact"/>
            </w:pPr>
            <w:r>
              <w:t xml:space="preserve">Period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vessels</w:t>
            </w:r>
          </w:p>
        </w:tc>
        <w:tc>
          <w:tcPr/>
          <w:p>
            <w:pPr>
              <w:pStyle w:val="Compact"/>
            </w:pPr>
            <w:r>
              <w:t xml:space="preserve">117 shifts</w:t>
            </w:r>
          </w:p>
        </w:tc>
        <w:tc>
          <w:tcPr/>
          <w:p>
            <w:pPr>
              <w:pStyle w:val="Compact"/>
            </w:pPr>
            <w:r>
              <w:t xml:space="preserve">Apr–Jul 2026</w:t>
            </w:r>
          </w:p>
        </w:tc>
      </w:tr>
    </w:tbl>
    <w:bookmarkStart w:id="16" w:name="what-the-period-delivered"/>
    <w:p>
      <w:pPr>
        <w:pStyle w:val="Heading2"/>
      </w:pPr>
      <w:r>
        <w:t xml:space="preserve">1. What the period delivered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Shift hours</w:t>
            </w:r>
          </w:p>
        </w:tc>
        <w:tc>
          <w:tcPr/>
          <w:p>
            <w:pPr>
              <w:pStyle w:val="Compact"/>
            </w:pPr>
            <w:r>
              <w:t xml:space="preserve">Hours worked</w:t>
            </w:r>
          </w:p>
        </w:tc>
        <w:tc>
          <w:tcPr/>
          <w:p>
            <w:pPr>
              <w:pStyle w:val="Compact"/>
            </w:pPr>
            <w:r>
              <w:t xml:space="preserve">Net utilisation</w:t>
            </w:r>
          </w:p>
        </w:tc>
        <w:tc>
          <w:tcPr/>
          <w:p>
            <w:pPr>
              <w:pStyle w:val="Compact"/>
            </w:pPr>
            <w:r>
              <w:t xml:space="preserve">Hours lost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1,549.6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1,268.1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81.8%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281.5</w:t>
            </w:r>
          </w:p>
        </w:tc>
      </w:tr>
    </w:tbl>
    <w:p>
      <w:pPr>
        <w:pStyle w:val="BodyText"/>
      </w:pPr>
      <w:r>
        <w:t xml:space="preserve">Across the four calls the gangs were productive for 81.8% of the hours booked.</w:t>
      </w:r>
      <w:r>
        <w:t xml:space="preserve"> </w:t>
      </w:r>
      <w:r>
        <w:t xml:space="preserve">The remaining 281.5 hours is the subject of this review, set out exactly as</w:t>
      </w:r>
      <w:r>
        <w:t xml:space="preserve"> </w:t>
      </w:r>
      <w:r>
        <w:t xml:space="preserve">recorded shift by shift in the operational reports both parties receive.</w:t>
      </w:r>
    </w:p>
    <w:bookmarkEnd w:id="16"/>
    <w:bookmarkStart w:id="17" w:name="how-the-hours-divide"/>
    <w:p>
      <w:pPr>
        <w:pStyle w:val="Heading2"/>
      </w:pPr>
      <w:r>
        <w:t xml:space="preserve">2. How the hours divide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Hours</w:t>
            </w:r>
          </w:p>
        </w:tc>
        <w:tc>
          <w:tcPr/>
          <w:p>
            <w:pPr>
              <w:pStyle w:val="Compact"/>
            </w:pPr>
            <w:r>
              <w:t xml:space="preserve">Share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Worked</w:t>
            </w:r>
          </w:p>
        </w:tc>
        <w:tc>
          <w:tcPr/>
          <w:p>
            <w:pPr>
              <w:pStyle w:val="Compact"/>
            </w:pPr>
            <w:r>
              <w:t xml:space="preserve">1,268.1</w:t>
            </w:r>
          </w:p>
        </w:tc>
        <w:tc>
          <w:tcPr/>
          <w:p>
            <w:pPr>
              <w:pStyle w:val="Compact"/>
            </w:pPr>
            <w:r>
              <w:t xml:space="preserve">81.8%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Lost — terminal side</w:t>
            </w:r>
          </w:p>
        </w:tc>
        <w:tc>
          <w:tcPr/>
          <w:p>
            <w:pPr>
              <w:pStyle w:val="Compact"/>
            </w:pPr>
            <w:r>
              <w:t xml:space="preserve">131.0</w:t>
            </w:r>
          </w:p>
        </w:tc>
        <w:tc>
          <w:tcPr/>
          <w:p>
            <w:pPr>
              <w:pStyle w:val="Compact"/>
            </w:pPr>
            <w:r>
              <w:t xml:space="preserve">8.5%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Lost — vessel side</w:t>
            </w:r>
          </w:p>
        </w:tc>
        <w:tc>
          <w:tcPr/>
          <w:p>
            <w:pPr>
              <w:pStyle w:val="Compact"/>
            </w:pPr>
            <w:r>
              <w:t xml:space="preserve">150.6</w:t>
            </w:r>
          </w:p>
        </w:tc>
        <w:tc>
          <w:tcPr/>
          <w:p>
            <w:pPr>
              <w:pStyle w:val="Compact"/>
            </w:pPr>
            <w:r>
              <w:t xml:space="preserve">9.7%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shift hours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1,549.6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Vessel</w:t>
            </w:r>
          </w:p>
        </w:tc>
        <w:tc>
          <w:tcPr/>
          <w:p>
            <w:pPr>
              <w:pStyle w:val="Compact"/>
            </w:pPr>
            <w:r>
              <w:t xml:space="preserve">Ops start</w:t>
            </w:r>
          </w:p>
        </w:tc>
        <w:tc>
          <w:tcPr/>
          <w:p>
            <w:pPr>
              <w:pStyle w:val="Compact"/>
            </w:pPr>
            <w:r>
              <w:t xml:space="preserve">Shifts</w:t>
            </w:r>
          </w:p>
        </w:tc>
        <w:tc>
          <w:tcPr/>
          <w:p>
            <w:pPr>
              <w:pStyle w:val="Compact"/>
            </w:pPr>
            <w:r>
              <w:t xml:space="preserve">Shift h</w:t>
            </w:r>
          </w:p>
        </w:tc>
        <w:tc>
          <w:tcPr/>
          <w:p>
            <w:pPr>
              <w:pStyle w:val="Compact"/>
            </w:pPr>
            <w:r>
              <w:t xml:space="preserve">Worked h</w:t>
            </w:r>
          </w:p>
        </w:tc>
        <w:tc>
          <w:tcPr/>
          <w:p>
            <w:pPr>
              <w:pStyle w:val="Compact"/>
            </w:pPr>
            <w:r>
              <w:t xml:space="preserve">Lost h</w:t>
            </w:r>
          </w:p>
        </w:tc>
        <w:tc>
          <w:tcPr/>
          <w:p>
            <w:pPr>
              <w:pStyle w:val="Compact"/>
            </w:pPr>
            <w:r>
              <w:t xml:space="preserve">Terminal</w:t>
            </w:r>
          </w:p>
        </w:tc>
        <w:tc>
          <w:tcPr/>
          <w:p>
            <w:pPr>
              <w:pStyle w:val="Compact"/>
            </w:pPr>
            <w:r>
              <w:t xml:space="preserve">Vessel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Lady Sacha</w:t>
            </w:r>
          </w:p>
        </w:tc>
        <w:tc>
          <w:tcPr/>
          <w:p>
            <w:pPr>
              <w:pStyle w:val="Compact"/>
            </w:pPr>
            <w:r>
              <w:t xml:space="preserve">16 Apr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355.5</w:t>
            </w:r>
          </w:p>
        </w:tc>
        <w:tc>
          <w:tcPr/>
          <w:p>
            <w:pPr>
              <w:pStyle w:val="Compact"/>
            </w:pPr>
            <w:r>
              <w:t xml:space="preserve">315.9</w:t>
            </w:r>
          </w:p>
        </w:tc>
        <w:tc>
          <w:tcPr/>
          <w:p>
            <w:pPr>
              <w:pStyle w:val="Compact"/>
            </w:pPr>
            <w:r>
              <w:t xml:space="preserve">39.6</w:t>
            </w:r>
          </w:p>
        </w:tc>
        <w:tc>
          <w:tcPr/>
          <w:p>
            <w:pPr>
              <w:pStyle w:val="Compact"/>
            </w:pPr>
            <w:r>
              <w:t xml:space="preserve">29.3</w:t>
            </w:r>
          </w:p>
        </w:tc>
        <w:tc>
          <w:tcPr/>
          <w:p>
            <w:pPr>
              <w:pStyle w:val="Compact"/>
            </w:pPr>
            <w:r>
              <w:t xml:space="preserve">10.3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Walrus</w:t>
            </w:r>
          </w:p>
        </w:tc>
        <w:tc>
          <w:tcPr/>
          <w:p>
            <w:pPr>
              <w:pStyle w:val="Compact"/>
            </w:pPr>
            <w:r>
              <w:t xml:space="preserve">10 May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391.0</w:t>
            </w:r>
          </w:p>
        </w:tc>
        <w:tc>
          <w:tcPr/>
          <w:p>
            <w:pPr>
              <w:pStyle w:val="Compact"/>
            </w:pPr>
            <w:r>
              <w:t xml:space="preserve">339.6</w:t>
            </w:r>
          </w:p>
        </w:tc>
        <w:tc>
          <w:tcPr/>
          <w:p>
            <w:pPr>
              <w:pStyle w:val="Compact"/>
            </w:pPr>
            <w:r>
              <w:t xml:space="preserve">51.3</w:t>
            </w:r>
          </w:p>
        </w:tc>
        <w:tc>
          <w:tcPr/>
          <w:p>
            <w:pPr>
              <w:pStyle w:val="Compact"/>
            </w:pPr>
            <w:r>
              <w:t xml:space="preserve">35.3</w:t>
            </w:r>
          </w:p>
        </w:tc>
        <w:tc>
          <w:tcPr/>
          <w:p>
            <w:pPr>
              <w:pStyle w:val="Compact"/>
            </w:pPr>
            <w:r>
              <w:t xml:space="preserve">16.0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True Faith</w:t>
            </w:r>
          </w:p>
        </w:tc>
        <w:tc>
          <w:tcPr/>
          <w:p>
            <w:pPr>
              <w:pStyle w:val="Compact"/>
            </w:pPr>
            <w:r>
              <w:t xml:space="preserve">6 Jun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446.2</w:t>
            </w:r>
          </w:p>
        </w:tc>
        <w:tc>
          <w:tcPr/>
          <w:p>
            <w:pPr>
              <w:pStyle w:val="Compact"/>
            </w:pPr>
            <w:r>
              <w:t xml:space="preserve">357.8</w:t>
            </w:r>
          </w:p>
        </w:tc>
        <w:tc>
          <w:tcPr/>
          <w:p>
            <w:pPr>
              <w:pStyle w:val="Compact"/>
            </w:pPr>
            <w:r>
              <w:t xml:space="preserve">88.3</w:t>
            </w:r>
          </w:p>
        </w:tc>
        <w:tc>
          <w:tcPr/>
          <w:p>
            <w:pPr>
              <w:pStyle w:val="Compact"/>
            </w:pPr>
            <w:r>
              <w:t xml:space="preserve">36.6</w:t>
            </w:r>
          </w:p>
        </w:tc>
        <w:tc>
          <w:tcPr/>
          <w:p>
            <w:pPr>
              <w:pStyle w:val="Compact"/>
            </w:pPr>
            <w:r>
              <w:t xml:space="preserve">51.8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Happy Founder</w:t>
            </w:r>
          </w:p>
        </w:tc>
        <w:tc>
          <w:tcPr/>
          <w:p>
            <w:pPr>
              <w:pStyle w:val="Compact"/>
            </w:pPr>
            <w:r>
              <w:t xml:space="preserve">2 Jul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357.0</w:t>
            </w:r>
          </w:p>
        </w:tc>
        <w:tc>
          <w:tcPr/>
          <w:p>
            <w:pPr>
              <w:pStyle w:val="Compact"/>
            </w:pPr>
            <w:r>
              <w:t xml:space="preserve">254.7</w:t>
            </w:r>
          </w:p>
        </w:tc>
        <w:tc>
          <w:tcPr/>
          <w:p>
            <w:pPr>
              <w:pStyle w:val="Compact"/>
            </w:pPr>
            <w:r>
              <w:t xml:space="preserve">102.3</w:t>
            </w:r>
          </w:p>
        </w:tc>
        <w:tc>
          <w:tcPr/>
          <w:p>
            <w:pPr>
              <w:pStyle w:val="Compact"/>
            </w:pPr>
            <w:r>
              <w:t xml:space="preserve">29.8</w:t>
            </w:r>
          </w:p>
        </w:tc>
        <w:tc>
          <w:tcPr/>
          <w:p>
            <w:pPr>
              <w:pStyle w:val="Compact"/>
            </w:pPr>
            <w:r>
              <w:t xml:space="preserve">72.5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117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1,549.6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1,268.1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281.5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131.0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150.6</w:t>
            </w:r>
          </w:p>
        </w:tc>
      </w:tr>
    </w:tbl>
    <w:p>
      <w:pPr>
        <w:pStyle w:val="BodyText"/>
      </w:pPr>
      <w:r>
        <w:rPr>
          <w:i/>
          <w:iCs/>
        </w:rPr>
        <w:t xml:space="preserve">Hours are rounded to one decimal place; individual figures may therefore not sum</w:t>
      </w:r>
      <w:r>
        <w:rPr>
          <w:i/>
          <w:iCs/>
        </w:rPr>
        <w:t xml:space="preserve"> </w:t>
      </w:r>
      <w:r>
        <w:rPr>
          <w:i/>
          <w:iCs/>
        </w:rPr>
        <w:t xml:space="preserve">exactly to the totals shown.</w:t>
      </w:r>
    </w:p>
    <w:p>
      <w:pPr>
        <w:pStyle w:val="BlockText"/>
      </w:pPr>
      <w:r>
        <w:rPr>
          <w:b/>
          <w:bCs/>
        </w:rPr>
        <w:t xml:space="preserve">Two observations from the table above.</w:t>
      </w:r>
      <w:r>
        <w:t xml:space="preserve"> </w:t>
      </w:r>
      <w:r>
        <w:t xml:space="preserve">First, the terminal’s own share has</w:t>
      </w:r>
      <w:r>
        <w:t xml:space="preserve"> </w:t>
      </w:r>
      <w:r>
        <w:t xml:space="preserve">been stable across all four calls — between 29.3 and 36.6 hours. Second, the</w:t>
      </w:r>
      <w:r>
        <w:t xml:space="preserve"> </w:t>
      </w:r>
      <w:r>
        <w:t xml:space="preserve">vessel-side share has not: it moved from 10.3 hours on the first call to 72.5</w:t>
      </w:r>
      <w:r>
        <w:t xml:space="preserve"> </w:t>
      </w:r>
      <w:r>
        <w:t xml:space="preserve">on the fourth. The growth in total lost time comes almost entirely from that</w:t>
      </w:r>
      <w:r>
        <w:t xml:space="preserve"> </w:t>
      </w:r>
      <w:r>
        <w:t xml:space="preserve">second column.</w:t>
      </w:r>
    </w:p>
    <w:bookmarkEnd w:id="17"/>
    <w:bookmarkStart w:id="18" w:name="what-the-lost-hours-were"/>
    <w:p>
      <w:pPr>
        <w:pStyle w:val="Heading2"/>
      </w:pPr>
      <w:r>
        <w:t xml:space="preserve">3. What the lost hours were</w:t>
      </w:r>
    </w:p>
    <w:p>
      <w:pPr>
        <w:pStyle w:val="FirstParagraph"/>
      </w:pPr>
      <w:r>
        <w:t xml:space="preserve">Every hour below is booked against a reason code in the shift report. Nothing is</w:t>
      </w:r>
      <w:r>
        <w:t xml:space="preserve"> </w:t>
      </w:r>
      <w:r>
        <w:t xml:space="preserve">estimated and nothing is moved between the two columns.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Vessel side</w:t>
            </w:r>
          </w:p>
        </w:tc>
        <w:tc>
          <w:tcPr/>
          <w:p>
            <w:pPr>
              <w:pStyle w:val="Compact"/>
            </w:pPr>
            <w:r>
              <w:t xml:space="preserve">Hours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 — waiting on (un)lashing</w:t>
            </w:r>
          </w:p>
        </w:tc>
        <w:tc>
          <w:tcPr/>
          <w:p>
            <w:pPr>
              <w:pStyle w:val="Compact"/>
            </w:pPr>
            <w:r>
              <w:t xml:space="preserve">83.3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Vessel idle (other)</w:t>
            </w:r>
          </w:p>
        </w:tc>
        <w:tc>
          <w:tcPr/>
          <w:p>
            <w:pPr>
              <w:pStyle w:val="Compact"/>
            </w:pPr>
            <w:r>
              <w:t xml:space="preserve">59.4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Vessel crane breakdown</w:t>
            </w:r>
          </w:p>
        </w:tc>
        <w:tc>
          <w:tcPr/>
          <w:p>
            <w:pPr>
              <w:pStyle w:val="Compact"/>
            </w:pPr>
            <w:r>
              <w:t xml:space="preserve">7.8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Subtotal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150.6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Terminal side</w:t>
            </w:r>
          </w:p>
        </w:tc>
        <w:tc>
          <w:tcPr/>
          <w:p>
            <w:pPr>
              <w:pStyle w:val="Compact"/>
            </w:pPr>
            <w:r>
              <w:t xml:space="preserve">Hours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operational delay</w:t>
            </w:r>
          </w:p>
        </w:tc>
        <w:tc>
          <w:tcPr/>
          <w:p>
            <w:pPr>
              <w:pStyle w:val="Compact"/>
            </w:pPr>
            <w:r>
              <w:t xml:space="preserve">90.9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Late start / early finish</w:t>
            </w:r>
          </w:p>
        </w:tc>
        <w:tc>
          <w:tcPr/>
          <w:p>
            <w:pPr>
              <w:pStyle w:val="Compact"/>
            </w:pPr>
            <w:r>
              <w:t xml:space="preserve">38.2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Crane breakdown &amp; waiting for cargo</w:t>
            </w:r>
          </w:p>
        </w:tc>
        <w:tc>
          <w:tcPr/>
          <w:p>
            <w:pPr>
              <w:pStyle w:val="Compact"/>
            </w:pPr>
            <w:r>
              <w:t xml:space="preserve">2.0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Subtotal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131.0</w:t>
            </w:r>
          </w:p>
        </w:tc>
      </w:tr>
    </w:tbl>
    <w:bookmarkEnd w:id="18"/>
    <w:bookmarkStart w:id="19" w:name="the-single-largest-item"/>
    <w:p>
      <w:pPr>
        <w:pStyle w:val="Heading2"/>
      </w:pPr>
      <w:r>
        <w:t xml:space="preserve">4. The single largest item</w:t>
      </w:r>
    </w:p>
    <w:p>
      <w:pPr>
        <w:pStyle w:val="FirstParagraph"/>
      </w:pPr>
      <w:r>
        <w:t xml:space="preserve">Read by reason rather than by side, one item is larger than any other:</w:t>
      </w:r>
      <w:r>
        <w:t xml:space="preserve"> </w:t>
      </w:r>
      <w:r>
        <w:rPr>
          <w:b/>
          <w:bCs/>
        </w:rPr>
        <w:t xml:space="preserve">chocking, lashing and securing.</w:t>
      </w:r>
      <w:r>
        <w:t xml:space="preserve"> </w:t>
      </w:r>
      <w:r>
        <w:t xml:space="preserve">It appears in the lashing column on two</w:t>
      </w:r>
      <w:r>
        <w:t xml:space="preserve"> </w:t>
      </w:r>
      <w:r>
        <w:t xml:space="preserve">vessels and inside the general vessel-idle column on the other two, where the</w:t>
      </w:r>
      <w:r>
        <w:t xml:space="preserve"> </w:t>
      </w:r>
      <w:r>
        <w:t xml:space="preserve">shift notes name it explicitly. Added together across all four calls it accounts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112.4 hours</w:t>
      </w:r>
      <w:r>
        <w:t xml:space="preserve"> </w:t>
      </w:r>
      <w:r>
        <w:t xml:space="preserve">— 40% of all time lost, and 75% of vessel-side time.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Vessel</w:t>
            </w:r>
          </w:p>
        </w:tc>
        <w:tc>
          <w:tcPr/>
          <w:p>
            <w:pPr>
              <w:pStyle w:val="Compact"/>
            </w:pPr>
            <w:r>
              <w:t xml:space="preserve">Hours on chocking, lashing and securing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Lady Sacha</w:t>
            </w:r>
          </w:p>
        </w:tc>
        <w:tc>
          <w:tcPr/>
          <w:p>
            <w:pPr>
              <w:pStyle w:val="Compact"/>
            </w:pPr>
            <w:r>
              <w:t xml:space="preserve">11.8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Walrus</w:t>
            </w:r>
          </w:p>
        </w:tc>
        <w:tc>
          <w:tcPr/>
          <w:p>
            <w:pPr>
              <w:pStyle w:val="Compact"/>
            </w:pPr>
            <w:r>
              <w:t xml:space="preserve">13.1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True Faith</w:t>
            </w:r>
          </w:p>
        </w:tc>
        <w:tc>
          <w:tcPr/>
          <w:p>
            <w:pPr>
              <w:pStyle w:val="Compact"/>
            </w:pPr>
            <w:r>
              <w:t xml:space="preserve">16.2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Happy Founder</w:t>
            </w:r>
          </w:p>
        </w:tc>
        <w:tc>
          <w:tcPr/>
          <w:p>
            <w:pPr>
              <w:pStyle w:val="Compact"/>
            </w:pPr>
            <w:r>
              <w:t xml:space="preserve">71.3</w:t>
            </w:r>
          </w:p>
        </w:tc>
      </w:tr>
    </w:tbl>
    <w:p>
      <w:pPr>
        <w:pStyle w:val="BodyText"/>
      </w:pPr>
      <w:r>
        <w:t xml:space="preserve">Across the four calls the figure ranged from 11.8 to 71.3 hours. The call with</w:t>
      </w:r>
      <w:r>
        <w:t xml:space="preserve"> </w:t>
      </w:r>
      <w:r>
        <w:t xml:space="preserve">the highest figure is also the call that lost the most time overall.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Source: the shift reports issued during each call for MV Lady Sacha, MV Walrus,</w:t>
      </w:r>
      <w:r>
        <w:rPr>
          <w:i/>
          <w:iCs/>
        </w:rPr>
        <w:t xml:space="preserve"> </w:t>
      </w:r>
      <w:r>
        <w:rPr>
          <w:i/>
          <w:iCs/>
        </w:rPr>
        <w:t xml:space="preserve">MV True Faith and MV Happy Founder. Hours are as booked in those reports. This</w:t>
      </w:r>
      <w:r>
        <w:rPr>
          <w:i/>
          <w:iCs/>
        </w:rPr>
        <w:t xml:space="preserve"> </w:t>
      </w:r>
      <w:r>
        <w:rPr>
          <w:i/>
          <w:iCs/>
        </w:rPr>
        <w:t xml:space="preserve">review covers time utilisation only.</w:t>
      </w:r>
    </w:p>
    <w:p>
      <w:pPr>
        <w:pStyle w:val="BodyText"/>
      </w:pPr>
      <w:r>
        <w:rPr>
          <w:i/>
          <w:iCs/>
        </w:rPr>
        <w:t xml:space="preserve">OPS-RPT-ALU-01 · Rev 1.0</w:t>
      </w:r>
    </w:p>
    <w:bookmarkEnd w:id="19"/>
    <w:bookmarkEnd w:id="20"/>
    <w:sectPr w:rsidR="002E111F" w:rsidRPr="002E111F" w:rsidSect="001D2406">
      <w:headerReference r:id="rId6" w:type="default"/>
      <w:footerReference r:id="rId7" w:type="default"/>
      <w:pgSz w:h="16838" w:w="11906"/>
      <w:pgMar w:bottom="1440" w:footer="708" w:gutter="0" w:header="708" w:left="851" w:right="707" w:top="2552"/>
      <w:cols w:space="708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B3" w:rsidRDefault="00AB207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-517525</wp:posOffset>
          </wp:positionH>
          <wp:positionV relativeFrom="paragraph">
            <wp:posOffset>-475615</wp:posOffset>
          </wp:positionV>
          <wp:extent cx="7516800" cy="1072406"/>
          <wp:effectExtent l="0" t="0" r="0" b="0"/>
          <wp:wrapNone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glish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072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B3" w:rsidRDefault="00AB2077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7516800" cy="1790964"/>
          <wp:effectExtent l="0" t="0" r="8255" b="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glish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790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spelling="clean"/>
  <w:stylePaneFormatFilter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al="3F01" w:visibleStyl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B3"/>
    <w:rsid w:val="00153028"/>
    <w:rsid w:val="001D2406"/>
    <w:rsid w:val="002E111F"/>
    <w:rsid w:val="003B7DB3"/>
    <w:rsid w:val="00AB2077"/>
  </w:rsids>
  <w:themeFontLang w:bidi="ar-SA" w:val="nl-NL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cs="Times New Roman" w:eastAsia="Times New Roman" w:hAnsi="Times New Roman"/>
        <w:lang w:bidi="ar-SA" w:eastAsia="nl-NL" w:val="nl-NL"/>
      </w:rPr>
    </w:rPrDefault>
    <w:pPrDefault/>
  </w:docDefaults>
  <w:latentStyles w:count="371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Normal" w:type="paragraph">
    <w:name w:val="Normal"/>
    <w:qFormat/>
    <w:rPr>
      <w:sz w:val="24"/>
      <w:szCs w:val="24"/>
      <w:lang w:eastAsia="en-US" w:val="en-US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Header" w:type="paragraph">
    <w:name w:val="header"/>
    <w:basedOn w:val="Normal"/>
    <w:link w:val="HeaderChar"/>
    <w:rsid w:val="003B7DB3"/>
    <w:pPr>
      <w:tabs>
        <w:tab w:pos="4513" w:val="center"/>
        <w:tab w:pos="9026" w:val="right"/>
      </w:tabs>
    </w:pPr>
  </w:style>
  <w:style w:customStyle="1" w:styleId="HeaderChar" w:type="character">
    <w:name w:val="Header Char"/>
    <w:basedOn w:val="DefaultParagraphFont"/>
    <w:link w:val="Header"/>
    <w:rsid w:val="003B7DB3"/>
    <w:rPr>
      <w:sz w:val="24"/>
      <w:szCs w:val="24"/>
      <w:lang w:eastAsia="en-US" w:val="en-US"/>
    </w:rPr>
  </w:style>
  <w:style w:styleId="Footer" w:type="paragraph">
    <w:name w:val="footer"/>
    <w:basedOn w:val="Normal"/>
    <w:link w:val="FooterChar"/>
    <w:rsid w:val="003B7DB3"/>
    <w:pPr>
      <w:tabs>
        <w:tab w:pos="4513" w:val="center"/>
        <w:tab w:pos="9026" w:val="right"/>
      </w:tabs>
    </w:pPr>
  </w:style>
  <w:style w:customStyle="1" w:styleId="FooterChar" w:type="character">
    <w:name w:val="Footer Char"/>
    <w:basedOn w:val="DefaultParagraphFont"/>
    <w:link w:val="Footer"/>
    <w:rsid w:val="003B7DB3"/>
    <w:rPr>
      <w:sz w:val="24"/>
      <w:szCs w:val="24"/>
      <w:lang w:eastAsia="en-US" w:val="en-US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5" Target="numbering.xml" /><Relationship Type="http://schemas.openxmlformats.org/officeDocument/2006/relationships/styles" Id="rId14" Target="styles.xml" /><Relationship Type="http://schemas.openxmlformats.org/officeDocument/2006/relationships/settings" Id="rId13" Target="settings.xml" /><Relationship Type="http://schemas.openxmlformats.org/officeDocument/2006/relationships/webSettings" Id="rId12" Target="webSettings.xml" /><Relationship Type="http://schemas.openxmlformats.org/officeDocument/2006/relationships/fontTable" Id="rId11" Target="fontTable.xml" /><Relationship Type="http://schemas.openxmlformats.org/officeDocument/2006/relationships/theme" Id="rId10" Target="theme/theme1.xml" /><Relationship Type="http://schemas.openxmlformats.org/officeDocument/2006/relationships/footnotes" Id="rId9" Target="footnotes.xml" /><Relationship Type="http://schemas.openxmlformats.org/officeDocument/2006/relationships/comments" Id="rId8" Target="comments.xml" /><Relationship Id="rId7" Target="footer1.xml" Type="http://schemas.openxmlformats.org/officeDocument/2006/relationships/footer" /><Relationship Id="rId6" Target="header1.xml" Type="http://schemas.openxmlformats.org/officeDocument/2006/relationships/header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?><Relationships xmlns="http://schemas.openxmlformats.org/package/2006/relationships" 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Steinweg Group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2026-10-28T07:50:25Z</dcterms:created>
  <dcterms:modified xsi:type="dcterms:W3CDTF">2026-10-28T07:50:25Z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