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4395B"/>
          <w:sz w:val="30"/>
        </w:rPr>
        <w:t>Start and Stop Times — open points</w:t>
      </w:r>
    </w:p>
    <w:p>
      <w:r>
        <w:rPr>
          <w:color w:val="5E7183"/>
          <w:sz w:val="18"/>
        </w:rPr>
        <w:t>Kept outside the procedure document, as agreed. Leon Steer | 4 October 2026</w:t>
      </w:r>
    </w:p>
    <w:p/>
    <w:p>
      <w:r>
        <w:rPr>
          <w:b/>
          <w:color w:val="0B5C88"/>
          <w:sz w:val="22"/>
        </w:rPr>
        <w:t>Needs an owner and a decision</w:t>
      </w:r>
    </w:p>
    <w:tbl>
      <w:tblPr>
        <w:tblStyle w:val="TableGrid"/>
        <w:tblW w:type="auto" w:w="0"/>
        <w:tblLook w:firstColumn="1" w:firstRow="1" w:lastColumn="0" w:lastRow="0" w:noHBand="0" w:noVBand="1" w:val="04A0"/>
      </w:tblPr>
      <w:tblGrid>
        <w:gridCol w:w="2600"/>
        <w:gridCol w:w="4320"/>
      </w:tblGrid>
      <w:tr>
        <w:tc>
          <w:tcPr>
            <w:tcW w:type="dxa" w:w="2600"/>
          </w:tcPr>
          <w:p>
            <w:r>
              <w:rPr>
                <w:b/>
                <w:sz w:val="19"/>
              </w:rPr>
              <w:t>Prayer and the six-hour rule</w:t>
            </w:r>
          </w:p>
        </w:tc>
        <w:tc>
          <w:tcPr>
            <w:tcW w:type="dxa" w:w="4320"/>
          </w:tcPr>
          <w:p>
            <w:r>
              <w:rPr>
                <w:sz w:val="19"/>
              </w:rPr>
              <w:t>Does prayer time count as a break under the six-hour continuous work rule, or does it come on top of the regular breaks? This decides whether the night shift complies. Section 2.2 still says this needs reviewing, but version 1.7 removed the line naming HR as the owner. Someone has to own it.</w:t>
            </w:r>
          </w:p>
        </w:tc>
      </w:tr>
      <w:tr>
        <w:tc>
          <w:tcPr>
            <w:tcW w:type="dxa" w:w="2600"/>
          </w:tcPr>
          <w:p>
            <w:r>
              <w:rPr>
                <w:b/>
                <w:sz w:val="19"/>
              </w:rPr>
              <w:t>Letter of Protest</w:t>
            </w:r>
          </w:p>
        </w:tc>
        <w:tc>
          <w:tcPr>
            <w:tcW w:type="dxa" w:w="4320"/>
          </w:tcPr>
          <w:p>
            <w:r>
              <w:rPr>
                <w:sz w:val="19"/>
              </w:rPr>
              <w:t>Is a Letter of Protest triggered by code C, and by the safety codes? How does that link to Commercial?</w:t>
            </w:r>
          </w:p>
        </w:tc>
      </w:tr>
      <w:tr>
        <w:tc>
          <w:tcPr>
            <w:tcW w:type="dxa" w:w="2600"/>
          </w:tcPr>
          <w:p>
            <w:r>
              <w:rPr>
                <w:b/>
                <w:sz w:val="19"/>
              </w:rPr>
              <w:t>Repeated employee-related deviations</w:t>
            </w:r>
          </w:p>
        </w:tc>
        <w:tc>
          <w:tcPr>
            <w:tcW w:type="dxa" w:w="4320"/>
          </w:tcPr>
          <w:p>
            <w:r>
              <w:rPr>
                <w:sz w:val="19"/>
              </w:rPr>
              <w:t>How are repeated code E cases handled between SV, Operational Manager and HR? The escalation line now sits in section 8; the procedure behind it is not agreed.</w:t>
            </w:r>
          </w:p>
        </w:tc>
      </w:tr>
    </w:tbl>
    <w:p/>
    <w:p>
      <w:r>
        <w:rPr>
          <w:b/>
          <w:color w:val="0B5C88"/>
          <w:sz w:val="22"/>
        </w:rPr>
        <w:t>Needs a figure or a format</w:t>
      </w:r>
    </w:p>
    <w:tbl>
      <w:tblPr>
        <w:tblStyle w:val="TableGrid"/>
        <w:tblW w:type="auto" w:w="0"/>
        <w:tblLook w:firstColumn="1" w:firstRow="1" w:lastColumn="0" w:lastRow="0" w:noHBand="0" w:noVBand="1" w:val="04A0"/>
      </w:tblPr>
      <w:tblGrid>
        <w:gridCol w:w="2600"/>
        <w:gridCol w:w="4320"/>
      </w:tblGrid>
      <w:tr>
        <w:tc>
          <w:tcPr>
            <w:tcW w:type="dxa" w:w="2600"/>
          </w:tcPr>
          <w:p>
            <w:r>
              <w:rPr>
                <w:b/>
                <w:sz w:val="19"/>
              </w:rPr>
              <w:t>Transport SV2 and SV3</w:t>
            </w:r>
          </w:p>
        </w:tc>
        <w:tc>
          <w:tcPr>
            <w:tcW w:type="dxa" w:w="4320"/>
          </w:tcPr>
          <w:p>
            <w:r>
              <w:rPr>
                <w:sz w:val="19"/>
              </w:rPr>
              <w:t>Departure times for the earlier run, and how many people need it. Was marked TO BE CONFIRMED and is not resolved.</w:t>
            </w:r>
          </w:p>
        </w:tc>
      </w:tr>
      <w:tr>
        <w:tc>
          <w:tcPr>
            <w:tcW w:type="dxa" w:w="2600"/>
          </w:tcPr>
          <w:p>
            <w:r>
              <w:rPr>
                <w:b/>
                <w:sz w:val="19"/>
              </w:rPr>
              <w:t>Tally registration format</w:t>
            </w:r>
          </w:p>
        </w:tc>
        <w:tc>
          <w:tcPr>
            <w:tcW w:type="dxa" w:w="4320"/>
          </w:tcPr>
          <w:p>
            <w:r>
              <w:rPr>
                <w:sz w:val="19"/>
              </w:rPr>
              <w:t>Section 4 still reads 'format to be confirmed' for the start-stop section of the tally sheet.</w:t>
            </w:r>
          </w:p>
        </w:tc>
      </w:tr>
    </w:tbl>
    <w:p/>
    <w:p>
      <w:r>
        <w:rPr>
          <w:b/>
          <w:color w:val="0B5C88"/>
          <w:sz w:val="22"/>
        </w:rPr>
        <w:t>Needs an agreement with a third party</w:t>
      </w:r>
    </w:p>
    <w:tbl>
      <w:tblPr>
        <w:tblStyle w:val="TableGrid"/>
        <w:tblW w:type="auto" w:w="0"/>
        <w:tblLook w:firstColumn="1" w:firstRow="1" w:lastColumn="0" w:lastRow="0" w:noHBand="0" w:noVBand="1" w:val="04A0"/>
      </w:tblPr>
      <w:tblGrid>
        <w:gridCol w:w="2600"/>
        <w:gridCol w:w="4320"/>
      </w:tblGrid>
      <w:tr>
        <w:tc>
          <w:tcPr>
            <w:tcW w:type="dxa" w:w="2600"/>
          </w:tcPr>
          <w:p>
            <w:r>
              <w:rPr>
                <w:b/>
                <w:sz w:val="19"/>
              </w:rPr>
              <w:t>Third-party suppliers</w:t>
            </w:r>
          </w:p>
        </w:tc>
        <w:tc>
          <w:tcPr>
            <w:tcW w:type="dxa" w:w="4320"/>
          </w:tcPr>
          <w:p>
            <w:r>
              <w:rPr>
                <w:sz w:val="19"/>
              </w:rPr>
              <w:t>Notification deadline, replacement arrangements, and the short rest around the 15:30 shift change.</w:t>
            </w:r>
          </w:p>
        </w:tc>
      </w:tr>
      <w:tr>
        <w:tc>
          <w:tcPr>
            <w:tcW w:type="dxa" w:w="2600"/>
          </w:tcPr>
          <w:p>
            <w:r>
              <w:rPr>
                <w:b/>
                <w:sz w:val="19"/>
              </w:rPr>
              <w:t>Third-party interface moments</w:t>
            </w:r>
          </w:p>
        </w:tc>
        <w:tc>
          <w:tcPr>
            <w:tcW w:type="dxa" w:w="4320"/>
          </w:tcPr>
          <w:p>
            <w:r>
              <w:rPr>
                <w:sz w:val="19"/>
              </w:rPr>
              <w:t>Version 1.7 removed section 2.2. The three interface moments are therefore no longer written down anywhere: 07:00-07:30 aligned with CSO, 15:30 CSO shift change while third-party labour continues after 8.5 hours, and the 19:00-20:00 changeover that coincides with the evening break. Third-party break times are still in the procedure, so the interfaces need a home.</w:t>
            </w:r>
          </w:p>
        </w:tc>
      </w:tr>
    </w:tbl>
    <w:p/>
    <w:p>
      <w:r>
        <w:rPr>
          <w:b/>
          <w:color w:val="0B5C88"/>
          <w:sz w:val="22"/>
        </w:rPr>
        <w:t>Needs doing before go-live</w:t>
      </w:r>
    </w:p>
    <w:tbl>
      <w:tblPr>
        <w:tblStyle w:val="TableGrid"/>
        <w:tblW w:type="auto" w:w="0"/>
        <w:tblLook w:firstColumn="1" w:firstRow="1" w:lastColumn="0" w:lastRow="0" w:noHBand="0" w:noVBand="1" w:val="04A0"/>
      </w:tblPr>
      <w:tblGrid>
        <w:gridCol w:w="2600"/>
        <w:gridCol w:w="4320"/>
      </w:tblGrid>
      <w:tr>
        <w:tc>
          <w:tcPr>
            <w:tcW w:type="dxa" w:w="2600"/>
          </w:tcPr>
          <w:p>
            <w:r>
              <w:rPr>
                <w:b/>
                <w:sz w:val="19"/>
              </w:rPr>
              <w:t>GSV feedback on the reason codes</w:t>
            </w:r>
          </w:p>
        </w:tc>
        <w:tc>
          <w:tcPr>
            <w:tcW w:type="dxa" w:w="4320"/>
          </w:tcPr>
          <w:p>
            <w:r>
              <w:rPr>
                <w:sz w:val="19"/>
              </w:rPr>
              <w:t>The ten codes have not been put to the GSVs who will use them.</w:t>
            </w:r>
          </w:p>
        </w:tc>
      </w:tr>
      <w:tr>
        <w:tc>
          <w:tcPr>
            <w:tcW w:type="dxa" w:w="2600"/>
          </w:tcPr>
          <w:p>
            <w:r>
              <w:rPr>
                <w:b/>
                <w:sz w:val="19"/>
              </w:rPr>
              <w:t>Start date</w:t>
            </w:r>
          </w:p>
        </w:tc>
        <w:tc>
          <w:tcPr>
            <w:tcW w:type="dxa" w:w="4320"/>
          </w:tcPr>
          <w:p>
            <w:r>
              <w:rPr>
                <w:sz w:val="19"/>
              </w:rPr>
              <w:t>Not set. Belongs in the roll-out plan, not in the procedure.</w:t>
            </w:r>
          </w:p>
        </w:tc>
      </w:tr>
    </w:tbl>
    <w:p/>
    <w:p>
      <w:r>
        <w:rPr>
          <w:b/>
          <w:color w:val="0B5C88"/>
          <w:sz w:val="22"/>
        </w:rPr>
        <w:t>Questions from Rick, in version 1.7</w:t>
      </w:r>
    </w:p>
    <w:tbl>
      <w:tblPr>
        <w:tblStyle w:val="TableGrid"/>
        <w:tblW w:type="auto" w:w="0"/>
        <w:tblLook w:firstColumn="1" w:firstRow="1" w:lastColumn="0" w:lastRow="0" w:noHBand="0" w:noVBand="1" w:val="04A0"/>
      </w:tblPr>
      <w:tblGrid>
        <w:gridCol w:w="2600"/>
        <w:gridCol w:w="4320"/>
      </w:tblGrid>
      <w:tr>
        <w:tc>
          <w:tcPr>
            <w:tcW w:type="dxa" w:w="2600"/>
          </w:tcPr>
          <w:p>
            <w:r>
              <w:rPr>
                <w:b/>
                <w:sz w:val="19"/>
              </w:rPr>
              <w:t>The new introduction</w:t>
            </w:r>
          </w:p>
        </w:tc>
        <w:tc>
          <w:tcPr>
            <w:tcW w:type="dxa" w:w="4320"/>
          </w:tcPr>
          <w:p>
            <w:r>
              <w:rPr>
                <w:sz w:val="19"/>
              </w:rPr>
              <w:t>Rick rewrote the opening with an Operational Excellence framing and asked what you think of it. It is in v1.8; his question has been taken out of the body text.</w:t>
            </w:r>
          </w:p>
        </w:tc>
      </w:tr>
      <w:tr>
        <w:tc>
          <w:tcPr>
            <w:tcW w:type="dxa" w:w="2600"/>
          </w:tcPr>
          <w:p>
            <w:r>
              <w:rPr>
                <w:b/>
                <w:sz w:val="19"/>
              </w:rPr>
              <w:t>Asr in the preparation period</w:t>
            </w:r>
          </w:p>
        </w:tc>
        <w:tc>
          <w:tcPr>
            <w:tcW w:type="dxa" w:w="4320"/>
          </w:tcPr>
          <w:p>
            <w:r>
              <w:rPr>
                <w:sz w:val="19"/>
              </w:rPr>
              <w:t>Rick wrote: 'For the afternoon shift, the preparation period also includes the planned Asr prayer period from 15:30 to 15:45' and asked whether that is right. The sentence is in v1.8; confirm it or correct it.</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