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Arial" w:hAnsi="Arial" w:eastAsia="Arial"/>
          <w:b/>
          <w:i w:val="0"/>
          <w:color w:val="0B5C88"/>
          <w:sz w:val="18"/>
        </w:rPr>
        <w:t>OPERATIONS EXCELLENCE INITIATIVE · PORT OF SOHAR</w:t>
      </w:r>
    </w:p>
    <w:p>
      <w:pPr>
        <w:spacing w:after="40" w:before="0"/>
      </w:pPr>
      <w:r>
        <w:rPr>
          <w:rFonts w:ascii="Arial" w:hAnsi="Arial" w:eastAsia="Arial"/>
          <w:b/>
          <w:i w:val="0"/>
          <w:color w:val="14395B"/>
          <w:sz w:val="42"/>
        </w:rPr>
        <w:t>Housekeeping &amp; Cargo Hold Cleaning</w:t>
      </w:r>
    </w:p>
    <w:p>
      <w:pPr>
        <w:spacing w:after="160" w:before="0"/>
      </w:pPr>
      <w:r>
        <w:rPr>
          <w:rFonts w:ascii="Arial" w:hAnsi="Arial" w:eastAsia="Arial"/>
          <w:b w:val="0"/>
          <w:i w:val="0"/>
          <w:color w:val="5F7080"/>
          <w:sz w:val="23"/>
        </w:rPr>
        <w:t>Clean while we work, and bring the right machine into the hold at the right moment.</w:t>
      </w:r>
    </w:p>
    <w:tbl>
      <w:tblPr>
        <w:tblW w:type="auto" w:w="0"/>
        <w:tblLayout w:type="fixed"/>
        <w:tblLook w:firstColumn="1" w:firstRow="1" w:lastColumn="0" w:lastRow="0" w:noHBand="0" w:noVBand="1" w:val="04A0"/>
        <w:tblCellMar>
          <w:top w:w="0" w:type="dxa"/>
          <w:left w:w="0" w:type="dxa"/>
          <w:bottom w:w="40" w:type="dxa"/>
          <w:right w:w="120" w:type="dxa"/>
        </w:tblCellMar>
      </w:tblPr>
      <w:tblGrid>
        <w:gridCol w:w="1928"/>
        <w:gridCol w:w="1928"/>
        <w:gridCol w:w="1928"/>
        <w:gridCol w:w="1928"/>
        <w:gridCol w:w="1928"/>
      </w:tblGrid>
      <w:tr>
        <w:tc>
          <w:tcPr>
            <w:tcW w:type="dxa" w:w="1928"/>
          </w:tcPr>
          <w:p>
            <w:pPr>
              <w:spacing w:after="0"/>
            </w:pPr>
            <w:r>
              <w:rPr>
                <w:rFonts w:ascii="Arial" w:hAnsi="Arial" w:eastAsia="Arial"/>
                <w:b/>
                <w:i w:val="0"/>
                <w:color w:val="14395B"/>
                <w:sz w:val="17"/>
              </w:rPr>
              <w:t>OPS-INI-HKC-01</w:t>
            </w:r>
          </w:p>
        </w:tc>
        <w:tc>
          <w:tcPr>
            <w:tcW w:type="dxa" w:w="1928"/>
          </w:tcPr>
          <w:p>
            <w:pPr>
              <w:spacing w:after="0"/>
            </w:pPr>
            <w:r>
              <w:rPr>
                <w:rFonts w:ascii="Arial" w:hAnsi="Arial" w:eastAsia="Arial"/>
                <w:b/>
                <w:i w:val="0"/>
                <w:color w:val="14395B"/>
                <w:sz w:val="17"/>
              </w:rPr>
              <w:t>Rev 0.1 · Draft for review</w:t>
            </w:r>
          </w:p>
        </w:tc>
        <w:tc>
          <w:tcPr>
            <w:tcW w:type="dxa" w:w="1928"/>
          </w:tcPr>
          <w:p>
            <w:pPr>
              <w:spacing w:after="0"/>
            </w:pPr>
            <w:r>
              <w:rPr>
                <w:rFonts w:ascii="Arial" w:hAnsi="Arial" w:eastAsia="Arial"/>
                <w:b/>
                <w:i w:val="0"/>
                <w:color w:val="14395B"/>
                <w:sz w:val="17"/>
              </w:rPr>
              <w:t>Operations · Supervisors &amp; Foremen</w:t>
            </w:r>
          </w:p>
        </w:tc>
        <w:tc>
          <w:tcPr>
            <w:tcW w:type="dxa" w:w="1928"/>
          </w:tcPr>
          <w:p>
            <w:pPr>
              <w:spacing w:after="0"/>
            </w:pPr>
            <w:r>
              <w:rPr>
                <w:rFonts w:ascii="Arial" w:hAnsi="Arial" w:eastAsia="Arial"/>
                <w:b/>
                <w:i w:val="0"/>
                <w:color w:val="14395B"/>
                <w:sz w:val="17"/>
              </w:rPr>
              <w:t>Dry Bulk · Break Bulk</w:t>
            </w:r>
          </w:p>
        </w:tc>
        <w:tc>
          <w:tcPr>
            <w:tcW w:type="dxa" w:w="1928"/>
          </w:tcPr>
          <w:p>
            <w:pPr>
              <w:spacing w:after="0"/>
            </w:pPr>
            <w:r>
              <w:rPr>
                <w:rFonts w:ascii="Arial" w:hAnsi="Arial" w:eastAsia="Arial"/>
                <w:b/>
                <w:i w:val="0"/>
                <w:color w:val="14395B"/>
                <w:sz w:val="17"/>
              </w:rPr>
              <w:t>Operations Excellence Programme</w:t>
            </w:r>
          </w:p>
        </w:tc>
      </w:tr>
      <w:tr>
        <w:tc>
          <w:tcPr>
            <w:tcW w:type="dxa" w:w="1928"/>
          </w:tcPr>
          <w:p>
            <w:pPr>
              <w:spacing w:after="0"/>
            </w:pPr>
            <w:r>
              <w:rPr>
                <w:rFonts w:ascii="Arial" w:hAnsi="Arial" w:eastAsia="Arial"/>
                <w:b w:val="0"/>
                <w:i w:val="0"/>
                <w:color w:val="5F7080"/>
                <w:sz w:val="16"/>
              </w:rPr>
              <w:t>Document</w:t>
            </w:r>
          </w:p>
        </w:tc>
        <w:tc>
          <w:tcPr>
            <w:tcW w:type="dxa" w:w="1928"/>
          </w:tcPr>
          <w:p>
            <w:pPr>
              <w:spacing w:after="0"/>
            </w:pPr>
            <w:r>
              <w:rPr>
                <w:rFonts w:ascii="Arial" w:hAnsi="Arial" w:eastAsia="Arial"/>
                <w:b w:val="0"/>
                <w:i w:val="0"/>
                <w:color w:val="5F7080"/>
                <w:sz w:val="16"/>
              </w:rPr>
              <w:t>Status</w:t>
            </w:r>
          </w:p>
        </w:tc>
        <w:tc>
          <w:tcPr>
            <w:tcW w:type="dxa" w:w="1928"/>
          </w:tcPr>
          <w:p>
            <w:pPr>
              <w:spacing w:after="0"/>
            </w:pPr>
            <w:r>
              <w:rPr>
                <w:rFonts w:ascii="Arial" w:hAnsi="Arial" w:eastAsia="Arial"/>
                <w:b w:val="0"/>
                <w:i w:val="0"/>
                <w:color w:val="5F7080"/>
                <w:sz w:val="16"/>
              </w:rPr>
              <w:t>Applies to</w:t>
            </w:r>
          </w:p>
        </w:tc>
        <w:tc>
          <w:tcPr>
            <w:tcW w:type="dxa" w:w="1928"/>
          </w:tcPr>
          <w:p>
            <w:pPr>
              <w:spacing w:after="0"/>
            </w:pPr>
            <w:r>
              <w:rPr>
                <w:rFonts w:ascii="Arial" w:hAnsi="Arial" w:eastAsia="Arial"/>
                <w:b w:val="0"/>
                <w:i w:val="0"/>
                <w:color w:val="5F7080"/>
                <w:sz w:val="16"/>
              </w:rPr>
              <w:t>Scope</w:t>
            </w:r>
          </w:p>
        </w:tc>
        <w:tc>
          <w:tcPr>
            <w:tcW w:type="dxa" w:w="1928"/>
          </w:tcPr>
          <w:p>
            <w:pPr>
              <w:spacing w:after="0"/>
            </w:pPr>
            <w:r>
              <w:rPr>
                <w:rFonts w:ascii="Arial" w:hAnsi="Arial" w:eastAsia="Arial"/>
                <w:b w:val="0"/>
                <w:i w:val="0"/>
                <w:color w:val="5F7080"/>
                <w:sz w:val="16"/>
              </w:rPr>
              <w:t>Owner</w:t>
            </w:r>
          </w:p>
        </w:tc>
      </w:tr>
    </w:tbl>
    <w:p>
      <w:pPr>
        <w:spacing w:after="80" w:before="0"/>
        <w:pBdr>
          <w:bottom w:val="single" w:sz="16" w:space="2" w:color="005781"/>
        </w:pBdr>
      </w:pPr>
    </w:p>
    <w:p>
      <w:pPr>
        <w:spacing w:before="320" w:after="80"/>
        <w:pBdr>
          <w:bottom w:val="single" w:sz="12" w:space="2" w:color="005781"/>
        </w:pBdr>
        <w:keepNext/>
      </w:pPr>
      <w:r>
        <w:rPr>
          <w:rFonts w:ascii="Arial" w:hAnsi="Arial" w:eastAsia="Arial"/>
          <w:b/>
          <w:i w:val="0"/>
          <w:color w:val="005781"/>
          <w:sz w:val="28"/>
        </w:rPr>
        <w:t xml:space="preserve">1  </w:t>
      </w:r>
      <w:r>
        <w:rPr>
          <w:rFonts w:ascii="Arial" w:hAnsi="Arial" w:eastAsia="Arial"/>
          <w:b/>
          <w:i w:val="0"/>
          <w:color w:val="14395B"/>
          <w:sz w:val="28"/>
        </w:rPr>
        <w:t>Purpose</w:t>
      </w:r>
    </w:p>
    <w:p>
      <w:pPr>
        <w:spacing w:after="120" w:before="0"/>
      </w:pPr>
      <w:r>
        <w:rPr>
          <w:rFonts w:ascii="Arial" w:hAnsi="Arial" w:eastAsia="Arial"/>
          <w:b w:val="0"/>
          <w:i w:val="0"/>
          <w:color w:val="232A30"/>
          <w:sz w:val="21"/>
        </w:rPr>
        <w:t>This initiative addresses two problems that end in the same place — a cargo hold that is not ready when the cargo is out of it.</w:t>
      </w:r>
    </w:p>
    <w:p>
      <w:pPr>
        <w:pStyle w:val="ListBullet"/>
        <w:spacing w:after="60"/>
        <w:ind w:left="340"/>
      </w:pPr>
      <w:r>
        <w:rPr>
          <w:rFonts w:ascii="Arial" w:hAnsi="Arial" w:eastAsia="Arial"/>
          <w:b/>
          <w:i w:val="0"/>
          <w:color w:val="232A30"/>
          <w:sz w:val="20"/>
        </w:rPr>
        <w:t>Waste and dunnage build up inside the hold</w:t>
      </w:r>
      <w:r>
        <w:rPr>
          <w:rFonts w:ascii="Arial" w:hAnsi="Arial" w:eastAsia="Arial"/>
          <w:b w:val="0"/>
          <w:i w:val="0"/>
          <w:color w:val="232A30"/>
          <w:sz w:val="20"/>
        </w:rPr>
        <w:t xml:space="preserve"> because cleaning starts only after the hold is finished. By then the material has to be handled twice, in a space that is harder to work in than it was an hour earlier.</w:t>
      </w:r>
    </w:p>
    <w:p>
      <w:pPr>
        <w:pStyle w:val="ListBullet"/>
        <w:spacing w:after="60"/>
        <w:ind w:left="340"/>
      </w:pPr>
      <w:r>
        <w:rPr>
          <w:rFonts w:ascii="Arial" w:hAnsi="Arial" w:eastAsia="Arial"/>
          <w:b/>
          <w:i w:val="0"/>
          <w:color w:val="232A30"/>
          <w:sz w:val="20"/>
        </w:rPr>
        <w:t>Cleaning equipment arrives late.</w:t>
      </w:r>
      <w:r>
        <w:rPr>
          <w:rFonts w:ascii="Arial" w:hAnsi="Arial" w:eastAsia="Arial"/>
          <w:b w:val="0"/>
          <w:i w:val="0"/>
          <w:color w:val="232A30"/>
          <w:sz w:val="20"/>
        </w:rPr>
        <w:t xml:space="preserve"> The loader is called when the cargo is nearly gone, by which time residue has packed into the sides and corners and has to be taken out by bobcat, by hand, and on occasion from a cherry picker.</w:t>
      </w:r>
    </w:p>
    <w:p>
      <w:pPr>
        <w:spacing w:after="120" w:before="0"/>
      </w:pPr>
      <w:r>
        <w:rPr>
          <w:rFonts w:ascii="Arial" w:hAnsi="Arial" w:eastAsia="Arial"/>
          <w:b w:val="0"/>
          <w:i w:val="0"/>
          <w:color w:val="232A30"/>
          <w:sz w:val="20"/>
        </w:rPr>
        <w:t>Both delay hold handover, and hold handover delays vessel departure. The aim is to keep the hold clean as it empties, and to have the machine best suited to the cargo in the hold before the cleaning becomes manual work.</w:t>
      </w:r>
    </w:p>
    <w:tbl>
      <w:tblPr>
        <w:tblW w:type="auto" w:w="0"/>
        <w:tblLook w:firstColumn="1" w:firstRow="1" w:lastColumn="0" w:lastRow="0" w:noHBand="0" w:noVBand="1" w:val="04A0"/>
        <w:tblCellMar>
          <w:top w:w="80" w:type="dxa"/>
          <w:left w:w="120" w:type="dxa"/>
          <w:bottom w:w="80" w:type="dxa"/>
          <w:right w:w="120" w:type="dxa"/>
        </w:tblCellMar>
      </w:tblPr>
      <w:tblGrid>
        <w:gridCol w:w="9638"/>
      </w:tblGrid>
      <w:tr>
        <w:tc>
          <w:tcPr>
            <w:tcW w:type="dxa" w:w="9638"/>
            <w:shd w:val="clear" w:fill="EEF4F9"/>
            <w:tcBorders>
              <w:top w:val="single" w:sz="4" w:color="EEF4F9" w:space="0"/>
              <w:left w:val="single" w:sz="24" w:color="005781" w:space="0"/>
              <w:bottom w:val="single" w:sz="4" w:color="EEF4F9" w:space="0"/>
              <w:right w:val="single" w:sz="4" w:color="EEF4F9" w:space="0"/>
            </w:tcBorders>
          </w:tcPr>
          <w:p>
            <w:pPr>
              <w:spacing w:after="0"/>
            </w:pPr>
            <w:r>
              <w:rPr>
                <w:rFonts w:ascii="Arial" w:hAnsi="Arial" w:eastAsia="Arial"/>
                <w:b/>
                <w:i w:val="0"/>
                <w:color w:val="14395B"/>
                <w:sz w:val="21"/>
              </w:rPr>
              <w:t>A hold that is cleaned as it empties does not need to be cleaned when it is empty.</w:t>
            </w:r>
          </w:p>
        </w:tc>
      </w:tr>
    </w:tbl>
    <w:p>
      <w:pPr>
        <w:spacing w:after="40"/>
      </w:pPr>
    </w:p>
    <w:p>
      <w:pPr>
        <w:spacing w:before="320" w:after="80"/>
        <w:pBdr>
          <w:bottom w:val="single" w:sz="12" w:space="2" w:color="005781"/>
        </w:pBdr>
        <w:keepNext/>
      </w:pPr>
      <w:r>
        <w:rPr>
          <w:rFonts w:ascii="Arial" w:hAnsi="Arial" w:eastAsia="Arial"/>
          <w:b/>
          <w:i w:val="0"/>
          <w:color w:val="005781"/>
          <w:sz w:val="28"/>
        </w:rPr>
        <w:t xml:space="preserve">2  </w:t>
      </w:r>
      <w:r>
        <w:rPr>
          <w:rFonts w:ascii="Arial" w:hAnsi="Arial" w:eastAsia="Arial"/>
          <w:b/>
          <w:i w:val="0"/>
          <w:color w:val="14395B"/>
          <w:sz w:val="28"/>
        </w:rPr>
        <w:t>Where we stand today</w:t>
      </w:r>
    </w:p>
    <w:p>
      <w:pPr>
        <w:spacing w:after="120" w:before="0"/>
      </w:pPr>
      <w:r>
        <w:rPr>
          <w:rFonts w:ascii="Arial" w:hAnsi="Arial" w:eastAsia="Arial"/>
          <w:b w:val="0"/>
          <w:i w:val="0"/>
          <w:color w:val="232A30"/>
          <w:sz w:val="20"/>
        </w:rPr>
        <w:t>Three things describe the present position, and the third is the one that has to be fixed first.</w:t>
      </w:r>
    </w:p>
    <w:p>
      <w:pPr>
        <w:pStyle w:val="ListBullet"/>
        <w:spacing w:after="60"/>
        <w:ind w:left="340"/>
      </w:pPr>
      <w:r>
        <w:rPr>
          <w:rFonts w:ascii="Arial" w:hAnsi="Arial" w:eastAsia="Arial"/>
          <w:b/>
          <w:i w:val="0"/>
          <w:color w:val="232A30"/>
          <w:sz w:val="20"/>
        </w:rPr>
        <w:t>Cleaning runs behind the operation.</w:t>
      </w:r>
      <w:r>
        <w:rPr>
          <w:rFonts w:ascii="Arial" w:hAnsi="Arial" w:eastAsia="Arial"/>
          <w:b w:val="0"/>
          <w:i w:val="0"/>
          <w:color w:val="232A30"/>
          <w:sz w:val="20"/>
        </w:rPr>
        <w:t xml:space="preserve"> It begins once a hold is complete, and in practice often once the whole vessel is discharged. Dunnage and waste accumulate in the meantime and obstruct the gang.</w:t>
      </w:r>
    </w:p>
    <w:p>
      <w:pPr>
        <w:pStyle w:val="ListBullet"/>
        <w:spacing w:after="60"/>
        <w:ind w:left="340"/>
      </w:pPr>
      <w:r>
        <w:rPr>
          <w:rFonts w:ascii="Arial" w:hAnsi="Arial" w:eastAsia="Arial"/>
          <w:b/>
          <w:i w:val="0"/>
          <w:color w:val="232A30"/>
          <w:sz w:val="20"/>
        </w:rPr>
        <w:t>Containers are the constraint, not the labour.</w:t>
      </w:r>
      <w:r>
        <w:rPr>
          <w:rFonts w:ascii="Arial" w:hAnsi="Arial" w:eastAsia="Arial"/>
          <w:b w:val="0"/>
          <w:i w:val="0"/>
          <w:color w:val="232A30"/>
          <w:sz w:val="20"/>
        </w:rPr>
        <w:t xml:space="preserve"> Skips are not always available when they are needed, and the skips now supplied are smaller than the ones they replaced, which multiplies the number of trips to the disposal area.</w:t>
      </w:r>
    </w:p>
    <w:p>
      <w:pPr>
        <w:pStyle w:val="ListBullet"/>
        <w:spacing w:after="60"/>
        <w:ind w:left="340"/>
      </w:pPr>
      <w:r>
        <w:rPr>
          <w:rFonts w:ascii="Arial" w:hAnsi="Arial" w:eastAsia="Arial"/>
          <w:b/>
          <w:i w:val="0"/>
          <w:color w:val="232A30"/>
          <w:sz w:val="20"/>
        </w:rPr>
        <w:t>None of this is measured.</w:t>
      </w:r>
      <w:r>
        <w:rPr>
          <w:rFonts w:ascii="Arial" w:hAnsi="Arial" w:eastAsia="Arial"/>
          <w:b w:val="0"/>
          <w:i w:val="0"/>
          <w:color w:val="232A30"/>
          <w:sz w:val="20"/>
        </w:rPr>
        <w:t xml:space="preserve"> The productivity report records twelve delay categories across CSO, Vessel and Other. Not one of them covers cleaning. Hold cleaning time therefore disappears into net working time, or is booked against </w:t>
      </w:r>
      <w:r>
        <w:rPr>
          <w:rFonts w:ascii="Arial" w:hAnsi="Arial" w:eastAsia="Arial"/>
          <w:b w:val="0"/>
          <w:i/>
          <w:color w:val="232A30"/>
          <w:sz w:val="20"/>
        </w:rPr>
        <w:t>Other Delay due to CSO</w:t>
      </w:r>
      <w:r>
        <w:rPr>
          <w:rFonts w:ascii="Arial" w:hAnsi="Arial" w:eastAsia="Arial"/>
          <w:b w:val="0"/>
          <w:i w:val="0"/>
          <w:color w:val="232A30"/>
          <w:sz w:val="20"/>
        </w:rPr>
        <w:t>, where it cannot be separated out again.</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fill="FFF6E5"/>
            <w:tcBorders>
              <w:top w:val="single" w:sz="4" w:color="EDD9A8" w:space="0"/>
              <w:left w:val="single" w:sz="28" w:color="C98A12" w:space="0"/>
              <w:bottom w:val="single" w:sz="4" w:color="EDD9A8" w:space="0"/>
              <w:right w:val="single" w:sz="4" w:color="EDD9A8" w:space="0"/>
            </w:tcBorders>
          </w:tcPr>
          <w:p>
            <w:pPr>
              <w:spacing w:after="80"/>
            </w:pPr>
            <w:r>
              <w:rPr>
                <w:rFonts w:ascii="Arial" w:hAnsi="Arial" w:eastAsia="Arial"/>
                <w:b/>
                <w:i w:val="0"/>
                <w:color w:val="8A5E05"/>
                <w:sz w:val="18"/>
              </w:rPr>
              <w:t>THE MEASUREMENT GAP</w:t>
            </w:r>
          </w:p>
          <w:p>
            <w:pPr>
              <w:spacing w:after="60"/>
            </w:pPr>
            <w:r>
              <w:rPr>
                <w:rFonts w:ascii="Arial" w:hAnsi="Arial" w:eastAsia="Arial"/>
                <w:b w:val="0"/>
                <w:i w:val="0"/>
                <w:color w:val="232A30"/>
                <w:sz w:val="20"/>
              </w:rPr>
              <w:t xml:space="preserve">Because cleaning time is not recorded, there is </w:t>
            </w:r>
            <w:r>
              <w:rPr>
                <w:rFonts w:ascii="Arial" w:hAnsi="Arial" w:eastAsia="Arial"/>
                <w:b/>
                <w:i w:val="0"/>
                <w:color w:val="232A30"/>
                <w:sz w:val="20"/>
              </w:rPr>
              <w:t>no baseline</w:t>
            </w:r>
            <w:r>
              <w:rPr>
                <w:rFonts w:ascii="Arial" w:hAnsi="Arial" w:eastAsia="Arial"/>
                <w:b w:val="0"/>
                <w:i w:val="0"/>
                <w:color w:val="232A30"/>
                <w:sz w:val="20"/>
              </w:rPr>
              <w:t>. Nothing in this document can be shown to have worked, and nothing can be shown to have been a problem in the first place — only described. Recording cleaning time is the cheapest item in this initiative and should be in place before any of the operational changes are judged.</w:t>
            </w:r>
          </w:p>
        </w:tc>
      </w:tr>
    </w:tbl>
    <w:p>
      <w:pPr>
        <w:spacing w:after="40"/>
      </w:pPr>
    </w:p>
    <w:tbl>
      <w:tblPr>
        <w:tblW w:type="auto" w:w="0"/>
        <w:jc w:val="center"/>
        <w:tblLook w:firstColumn="1" w:firstRow="1" w:lastColumn="0" w:lastRow="0" w:noHBand="0" w:noVBand="1" w:val="04A0"/>
        <w:tblCellMar>
          <w:top w:w="100" w:type="dxa"/>
          <w:left w:w="120" w:type="dxa"/>
          <w:bottom w:w="100" w:type="dxa"/>
          <w:right w:w="120" w:type="dxa"/>
        </w:tblCellMar>
      </w:tblPr>
      <w:tblGrid>
        <w:gridCol w:w="9638"/>
      </w:tblGrid>
      <w:tr>
        <w:tc>
          <w:tcPr>
            <w:tcW w:type="dxa" w:w="9638"/>
            <w:shd w:val="clear" w:fill="14395B"/>
            <w:tcBorders>
              <w:top w:val="single" w:sz="4" w:color="14395B" w:space="0"/>
              <w:left w:val="single" w:sz="4" w:color="14395B" w:space="0"/>
              <w:bottom w:val="single" w:sz="4" w:color="14395B" w:space="0"/>
              <w:right w:val="single" w:sz="4" w:color="14395B" w:space="0"/>
            </w:tcBorders>
          </w:tcPr>
          <w:p>
            <w:pPr>
              <w:spacing w:after="0"/>
            </w:pPr>
            <w:r>
              <w:rPr>
                <w:rFonts w:ascii="Arial" w:hAnsi="Arial" w:eastAsia="Arial"/>
                <w:b/>
                <w:i w:val="0"/>
                <w:color w:val="FFFFFF"/>
                <w:sz w:val="22"/>
              </w:rPr>
              <w:t>PART A — HOUSEKEEPING AND WASTE REMOVAL</w:t>
            </w:r>
            <w:r>
              <w:rPr>
                <w:rFonts w:ascii="Arial" w:hAnsi="Arial" w:eastAsia="Arial"/>
                <w:b w:val="0"/>
                <w:i w:val="0"/>
                <w:color w:val="D8E4EE"/>
                <w:sz w:val="20"/>
              </w:rPr>
              <w:t xml:space="preserve">   · inside the vessel and on the quay</w:t>
            </w:r>
          </w:p>
        </w:tc>
      </w:tr>
    </w:tbl>
    <w:p>
      <w:pPr>
        <w:spacing w:after="40"/>
      </w:pPr>
    </w:p>
    <w:p>
      <w:pPr>
        <w:spacing w:before="320" w:after="80"/>
        <w:pBdr>
          <w:bottom w:val="single" w:sz="12" w:space="2" w:color="005781"/>
        </w:pBdr>
        <w:keepNext/>
      </w:pPr>
      <w:r>
        <w:rPr>
          <w:rFonts w:ascii="Arial" w:hAnsi="Arial" w:eastAsia="Arial"/>
          <w:b/>
          <w:i w:val="0"/>
          <w:color w:val="005781"/>
          <w:sz w:val="28"/>
        </w:rPr>
        <w:t xml:space="preserve">3  </w:t>
      </w:r>
      <w:r>
        <w:rPr>
          <w:rFonts w:ascii="Arial" w:hAnsi="Arial" w:eastAsia="Arial"/>
          <w:b/>
          <w:i w:val="0"/>
          <w:color w:val="14395B"/>
          <w:sz w:val="28"/>
        </w:rPr>
        <w:t>Inside the vessel</w:t>
      </w:r>
    </w:p>
    <w:p>
      <w:pPr>
        <w:spacing w:after="120" w:before="0"/>
      </w:pPr>
      <w:r>
        <w:rPr>
          <w:rFonts w:ascii="Arial" w:hAnsi="Arial" w:eastAsia="Arial"/>
          <w:b/>
          <w:i w:val="0"/>
          <w:color w:val="232A30"/>
          <w:sz w:val="20"/>
        </w:rPr>
        <w:t>Cleaning is to be carried out alongside the discharge, not after it.</w:t>
      </w:r>
      <w:r>
        <w:rPr>
          <w:rFonts w:ascii="Arial" w:hAnsi="Arial" w:eastAsia="Arial"/>
          <w:b w:val="0"/>
          <w:i w:val="0"/>
          <w:color w:val="232A30"/>
          <w:sz w:val="20"/>
        </w:rPr>
        <w:t xml:space="preserve"> Where manpower does not allow a cleaning party in every hold at once, the minimum standard is that a skip box is placed in each hold, or in the holds carrying the highest priority, so that dunnage and waste go straight into a container instead of onto the tank top.</w:t>
      </w:r>
    </w:p>
    <w:p>
      <w:pPr>
        <w:spacing w:after="40" w:before="0"/>
      </w:pPr>
      <w:r>
        <w:drawing>
          <wp:inline xmlns:a="http://schemas.openxmlformats.org/drawingml/2006/main" xmlns:pic="http://schemas.openxmlformats.org/drawingml/2006/picture">
            <wp:extent cx="5976000" cy="1713120"/>
            <wp:docPr id="1" name="Picture 1"/>
            <wp:cNvGraphicFramePr>
              <a:graphicFrameLocks noChangeAspect="1"/>
            </wp:cNvGraphicFramePr>
            <a:graphic>
              <a:graphicData uri="http://schemas.openxmlformats.org/drawingml/2006/picture">
                <pic:pic>
                  <pic:nvPicPr>
                    <pic:cNvPr id="0" name="skipboxes.jpg"/>
                    <pic:cNvPicPr/>
                  </pic:nvPicPr>
                  <pic:blipFill>
                    <a:blip r:embed="rId11"/>
                    <a:stretch>
                      <a:fillRect/>
                    </a:stretch>
                  </pic:blipFill>
                  <pic:spPr>
                    <a:xfrm>
                      <a:off x="0" y="0"/>
                      <a:ext cx="5976000" cy="1713120"/>
                    </a:xfrm>
                    <a:prstGeom prst="rect"/>
                  </pic:spPr>
                </pic:pic>
              </a:graphicData>
            </a:graphic>
          </wp:inline>
        </w:drawing>
      </w:r>
    </w:p>
    <w:p>
      <w:pPr>
        <w:spacing w:after="160" w:before="0"/>
      </w:pPr>
      <w:r>
        <w:rPr>
          <w:rFonts w:ascii="Arial" w:hAnsi="Arial" w:eastAsia="Arial"/>
          <w:b w:val="0"/>
          <w:i w:val="0"/>
          <w:color w:val="5F7080"/>
          <w:sz w:val="17"/>
        </w:rPr>
        <w:t>Dedicated skip boxes — dunnage and steel kept separate at source. Placed inside the hold, they are shifted with the cargo as the hold empties and lifted out full.</w:t>
      </w:r>
    </w:p>
    <w:p>
      <w:pPr>
        <w:spacing w:after="120" w:before="0"/>
      </w:pPr>
      <w:r>
        <w:rPr>
          <w:rFonts w:ascii="Arial" w:hAnsi="Arial" w:eastAsia="Arial"/>
          <w:b w:val="0"/>
          <w:i w:val="0"/>
          <w:color w:val="232A30"/>
          <w:sz w:val="20"/>
        </w:rPr>
        <w:t>The supervisor on the vessel monitors cleaning progress through the shift and ensures it does not interfere with the discharge. Cleaning progress and hold priority are also to be covered on the General Supervisor's shift round, where the condition of a hold is already being looked at for safety reasons.</w:t>
      </w:r>
    </w:p>
    <w:p>
      <w:pPr>
        <w:spacing w:before="320" w:after="80"/>
        <w:pBdr>
          <w:bottom w:val="single" w:sz="12" w:space="2" w:color="005781"/>
        </w:pBdr>
        <w:keepNext/>
      </w:pPr>
      <w:r>
        <w:rPr>
          <w:rFonts w:ascii="Arial" w:hAnsi="Arial" w:eastAsia="Arial"/>
          <w:b/>
          <w:i w:val="0"/>
          <w:color w:val="005781"/>
          <w:sz w:val="28"/>
        </w:rPr>
        <w:t xml:space="preserve">4  </w:t>
      </w:r>
      <w:r>
        <w:rPr>
          <w:rFonts w:ascii="Arial" w:hAnsi="Arial" w:eastAsia="Arial"/>
          <w:b/>
          <w:i w:val="0"/>
          <w:color w:val="14395B"/>
          <w:sz w:val="28"/>
        </w:rPr>
        <w:t>On the quay</w:t>
      </w:r>
    </w:p>
    <w:p>
      <w:pPr>
        <w:spacing w:before="200" w:after="40"/>
        <w:keepNext/>
      </w:pPr>
      <w:r>
        <w:rPr>
          <w:rFonts w:ascii="Arial" w:hAnsi="Arial" w:eastAsia="Arial"/>
          <w:b/>
          <w:i w:val="0"/>
          <w:color w:val="0B5C88"/>
          <w:sz w:val="22"/>
        </w:rPr>
        <w:t>Waste removal during the operation</w:t>
      </w:r>
    </w:p>
    <w:p>
      <w:pPr>
        <w:pStyle w:val="ListBullet"/>
        <w:spacing w:after="60"/>
        <w:ind w:left="340"/>
      </w:pPr>
      <w:r>
        <w:rPr>
          <w:rFonts w:ascii="Arial" w:hAnsi="Arial" w:eastAsia="Arial"/>
          <w:b w:val="0"/>
          <w:i w:val="0"/>
          <w:color w:val="232A30"/>
          <w:sz w:val="20"/>
        </w:rPr>
        <w:t xml:space="preserve">At each berth, designate a </w:t>
      </w:r>
      <w:r>
        <w:rPr>
          <w:rFonts w:ascii="Arial" w:hAnsi="Arial" w:eastAsia="Arial"/>
          <w:b/>
          <w:i w:val="0"/>
          <w:color w:val="232A30"/>
          <w:sz w:val="20"/>
        </w:rPr>
        <w:t>fixed, safe area clear of the operation</w:t>
      </w:r>
      <w:r>
        <w:rPr>
          <w:rFonts w:ascii="Arial" w:hAnsi="Arial" w:eastAsia="Arial"/>
          <w:b w:val="0"/>
          <w:i w:val="0"/>
          <w:color w:val="232A30"/>
          <w:sz w:val="20"/>
        </w:rPr>
        <w:t xml:space="preserve"> where full skip boxes are set down before they are moved to the disposal area.</w:t>
      </w:r>
    </w:p>
    <w:p>
      <w:pPr>
        <w:pStyle w:val="ListBullet"/>
        <w:spacing w:after="60"/>
        <w:ind w:left="340"/>
      </w:pPr>
      <w:r>
        <w:rPr>
          <w:rFonts w:ascii="Arial" w:hAnsi="Arial" w:eastAsia="Arial"/>
          <w:b w:val="0"/>
          <w:i w:val="0"/>
          <w:color w:val="232A30"/>
          <w:sz w:val="20"/>
        </w:rPr>
        <w:t>Check the disposal area through the shift and coordinate with Oman Maritime Waste Treatment SAOC (OMWT) to clear full skips, so that an empty skip is always available and the operation is never held up waiting for one.</w:t>
      </w:r>
    </w:p>
    <w:p>
      <w:pPr>
        <w:spacing w:before="200" w:after="40"/>
        <w:keepNext/>
      </w:pPr>
      <w:r>
        <w:rPr>
          <w:rFonts w:ascii="Arial" w:hAnsi="Arial" w:eastAsia="Arial"/>
          <w:b/>
          <w:i w:val="0"/>
          <w:color w:val="0B5C88"/>
          <w:sz w:val="22"/>
        </w:rPr>
        <w:t>Suitable containers</w:t>
      </w:r>
    </w:p>
    <w:p>
      <w:pPr>
        <w:pStyle w:val="ListBullet"/>
        <w:spacing w:after="60"/>
        <w:ind w:left="340"/>
      </w:pPr>
      <w:r>
        <w:rPr>
          <w:rFonts w:ascii="Arial" w:hAnsi="Arial" w:eastAsia="Arial"/>
          <w:b/>
          <w:i w:val="0"/>
          <w:color w:val="232A30"/>
          <w:sz w:val="20"/>
        </w:rPr>
        <w:t>Skip capacity.</w:t>
      </w:r>
      <w:r>
        <w:rPr>
          <w:rFonts w:ascii="Arial" w:hAnsi="Arial" w:eastAsia="Arial"/>
          <w:b w:val="0"/>
          <w:i w:val="0"/>
          <w:color w:val="232A30"/>
          <w:sz w:val="20"/>
        </w:rPr>
        <w:t xml:space="preserve"> The previous skip boxes hold approximately 9 CBM; the replacement units hold 6–7 CBM. The smaller unit increases the number of lifts and trips for the same volume of waste. The requirement to agree with OMWT is a minimum working capacity of </w:t>
      </w:r>
      <w:r>
        <w:rPr>
          <w:rFonts w:ascii="Arial" w:hAnsi="Arial" w:eastAsia="Arial"/>
          <w:b/>
          <w:i w:val="0"/>
          <w:color w:val="232A30"/>
          <w:sz w:val="20"/>
        </w:rPr>
        <w:t>9 CBM</w:t>
      </w:r>
      <w:r>
        <w:rPr>
          <w:rFonts w:ascii="Arial" w:hAnsi="Arial" w:eastAsia="Arial"/>
          <w:b w:val="0"/>
          <w:i w:val="0"/>
          <w:color w:val="232A30"/>
          <w:sz w:val="20"/>
        </w:rPr>
        <w:t xml:space="preserve"> for general dunnage and waste.</w:t>
      </w:r>
    </w:p>
    <w:p>
      <w:pPr>
        <w:pStyle w:val="ListBullet"/>
        <w:spacing w:after="60"/>
        <w:ind w:left="340"/>
      </w:pPr>
      <w:r>
        <w:rPr>
          <w:rFonts w:ascii="Arial" w:hAnsi="Arial" w:eastAsia="Arial"/>
          <w:b/>
          <w:i w:val="0"/>
          <w:color w:val="232A30"/>
          <w:sz w:val="20"/>
        </w:rPr>
        <w:t>Big bags for light waste.</w:t>
      </w:r>
      <w:r>
        <w:rPr>
          <w:rFonts w:ascii="Arial" w:hAnsi="Arial" w:eastAsia="Arial"/>
          <w:b w:val="0"/>
          <w:i w:val="0"/>
          <w:color w:val="232A30"/>
          <w:sz w:val="20"/>
        </w:rPr>
        <w:t xml:space="preserve"> Small dunnage and loose waste go into big bags rather than skips, which reduces the number of skip movements in and out of the vessel.</w:t>
      </w:r>
    </w:p>
    <w:p>
      <w:pPr>
        <w:pStyle w:val="ListBullet"/>
        <w:spacing w:after="60"/>
        <w:ind w:left="340"/>
      </w:pPr>
      <w:r>
        <w:rPr>
          <w:rFonts w:ascii="Arial" w:hAnsi="Arial" w:eastAsia="Arial"/>
          <w:b/>
          <w:i w:val="0"/>
          <w:color w:val="232A30"/>
          <w:sz w:val="20"/>
        </w:rPr>
        <w:t>Buffer stock.</w:t>
      </w:r>
      <w:r>
        <w:rPr>
          <w:rFonts w:ascii="Arial" w:hAnsi="Arial" w:eastAsia="Arial"/>
          <w:b w:val="0"/>
          <w:i w:val="0"/>
          <w:color w:val="232A30"/>
          <w:sz w:val="20"/>
        </w:rPr>
        <w:t xml:space="preserve"> Enough skips on the terminal to cover a full shift on all working berths without a nil-stock event.</w:t>
      </w:r>
    </w:p>
    <w:p>
      <w:pPr>
        <w:spacing w:before="320" w:after="80"/>
        <w:pBdr>
          <w:bottom w:val="single" w:sz="12" w:space="2" w:color="005781"/>
        </w:pBdr>
        <w:keepNext/>
      </w:pPr>
      <w:r>
        <w:rPr>
          <w:rFonts w:ascii="Arial" w:hAnsi="Arial" w:eastAsia="Arial"/>
          <w:b/>
          <w:i w:val="0"/>
          <w:color w:val="005781"/>
          <w:sz w:val="28"/>
        </w:rPr>
        <w:t xml:space="preserve">5  </w:t>
      </w:r>
      <w:r>
        <w:rPr>
          <w:rFonts w:ascii="Arial" w:hAnsi="Arial" w:eastAsia="Arial"/>
          <w:b/>
          <w:i w:val="0"/>
          <w:color w:val="14395B"/>
          <w:sz w:val="28"/>
        </w:rPr>
        <w:t>Part A — current state to future state</w:t>
      </w:r>
    </w:p>
    <w:tbl>
      <w:tblPr>
        <w:tblW w:type="auto" w:w="0"/>
        <w:tblLayout w:type="fixed"/>
        <w:tblLook w:firstColumn="1" w:firstRow="1" w:lastColumn="0" w:lastRow="0" w:noHBand="0" w:noVBand="1" w:val="04A0"/>
        <w:tblCellMar>
          <w:top w:w="80" w:type="dxa"/>
          <w:left w:w="120" w:type="dxa"/>
          <w:bottom w:w="80" w:type="dxa"/>
          <w:right w:w="120" w:type="dxa"/>
        </w:tblCellMar>
      </w:tblPr>
      <w:tblGrid>
        <w:gridCol w:w="4819"/>
        <w:gridCol w:w="4819"/>
      </w:tblGrid>
      <w:tr>
        <w:trPr>
          <w:tblHeader w:val="true"/>
        </w:trPr>
        <w:tc>
          <w:tcPr>
            <w:tcW w:type="dxa" w:w="4706"/>
            <w:shd w:val="clear" w:fill="B23A2C"/>
            <w:tcBorders>
              <w:top w:val="single" w:sz="4" w:color="B23A2C" w:space="0"/>
              <w:left w:val="single" w:sz="4" w:color="B23A2C" w:space="0"/>
              <w:bottom w:val="single" w:sz="4" w:color="B23A2C" w:space="0"/>
              <w:right w:val="single" w:sz="4" w:color="B23A2C" w:space="0"/>
            </w:tcBorders>
          </w:tcPr>
          <w:p>
            <w:pPr>
              <w:spacing w:after="0"/>
            </w:pPr>
            <w:r>
              <w:rPr>
                <w:rFonts w:ascii="Arial" w:hAnsi="Arial" w:eastAsia="Arial"/>
                <w:b/>
                <w:i w:val="0"/>
                <w:color w:val="FFFFFF"/>
                <w:sz w:val="20"/>
              </w:rPr>
              <w:t>Current state</w:t>
            </w:r>
          </w:p>
        </w:tc>
        <w:tc>
          <w:tcPr>
            <w:tcW w:type="dxa" w:w="4706"/>
            <w:shd w:val="clear" w:fill="1E8A4C"/>
            <w:tcBorders>
              <w:top w:val="single" w:sz="4" w:color="1E8A4C" w:space="0"/>
              <w:left w:val="single" w:sz="4" w:color="1E8A4C" w:space="0"/>
              <w:bottom w:val="single" w:sz="4" w:color="1E8A4C" w:space="0"/>
              <w:right w:val="single" w:sz="4" w:color="1E8A4C" w:space="0"/>
            </w:tcBorders>
          </w:tcPr>
          <w:p>
            <w:pPr>
              <w:spacing w:after="0"/>
            </w:pPr>
            <w:r>
              <w:rPr>
                <w:rFonts w:ascii="Arial" w:hAnsi="Arial" w:eastAsia="Arial"/>
                <w:b/>
                <w:i w:val="0"/>
                <w:color w:val="FFFFFF"/>
                <w:sz w:val="20"/>
              </w:rPr>
              <w:t>Future state</w:t>
            </w:r>
          </w:p>
        </w:tc>
      </w:tr>
      <w:tr>
        <w:tc>
          <w:tcPr>
            <w:tcW w:type="dxa" w:w="4706"/>
            <w:shd w:val="clear" w:fill="FDECEA"/>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Cleaning is performed after the operation is complete.</w:t>
            </w:r>
          </w:p>
        </w:tc>
        <w:tc>
          <w:tcPr>
            <w:tcW w:type="dxa" w:w="4706"/>
            <w:shd w:val="clear" w:fill="EAF6EF"/>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Cleaning is carried out continuously during loading and discharge.</w:t>
            </w:r>
          </w:p>
        </w:tc>
      </w:tr>
      <w:tr>
        <w:tc>
          <w:tcPr>
            <w:tcW w:type="dxa" w:w="4706"/>
            <w:shd w:val="clear" w:fill="FDECEA"/>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Waste accumulates in the working areas.</w:t>
            </w:r>
          </w:p>
        </w:tc>
        <w:tc>
          <w:tcPr>
            <w:tcW w:type="dxa" w:w="4706"/>
            <w:shd w:val="clear" w:fill="EAF6EF"/>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Waste is contained at source and removed continuously through the shift.</w:t>
            </w:r>
          </w:p>
        </w:tc>
      </w:tr>
      <w:tr>
        <w:tc>
          <w:tcPr>
            <w:tcW w:type="dxa" w:w="4706"/>
            <w:shd w:val="clear" w:fill="FDECEA"/>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The number of waste containers is insufficient for operational needs.</w:t>
            </w:r>
          </w:p>
        </w:tc>
        <w:tc>
          <w:tcPr>
            <w:tcW w:type="dxa" w:w="4706"/>
            <w:shd w:val="clear" w:fill="EAF6EF"/>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Sufficient containers are provided and positioned at each working berth.</w:t>
            </w:r>
          </w:p>
        </w:tc>
      </w:tr>
      <w:tr>
        <w:tc>
          <w:tcPr>
            <w:tcW w:type="dxa" w:w="4706"/>
            <w:shd w:val="clear" w:fill="FDECEA"/>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No approved housekeeping work instruction is in place.</w:t>
            </w:r>
          </w:p>
        </w:tc>
        <w:tc>
          <w:tcPr>
            <w:tcW w:type="dxa" w:w="4706"/>
            <w:shd w:val="clear" w:fill="EAF6EF"/>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An approved Housekeeping Work Instruction is issued and briefed.</w:t>
            </w:r>
          </w:p>
        </w:tc>
      </w:tr>
      <w:tr>
        <w:tc>
          <w:tcPr>
            <w:tcW w:type="dxa" w:w="4706"/>
            <w:shd w:val="clear" w:fill="FDECEA"/>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Housekeeping responsibilities are not clearly assigned.</w:t>
            </w:r>
          </w:p>
        </w:tc>
        <w:tc>
          <w:tcPr>
            <w:tcW w:type="dxa" w:w="4706"/>
            <w:shd w:val="clear" w:fill="EAF6EF"/>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Responsibilities are assigned by role, as set out in section 8.</w:t>
            </w:r>
          </w:p>
        </w:tc>
      </w:tr>
      <w:tr>
        <w:tc>
          <w:tcPr>
            <w:tcW w:type="dxa" w:w="4706"/>
            <w:shd w:val="clear" w:fill="FDECEA"/>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Inspection and monitoring are irregular.</w:t>
            </w:r>
          </w:p>
        </w:tc>
        <w:tc>
          <w:tcPr>
            <w:tcW w:type="dxa" w:w="4706"/>
            <w:shd w:val="clear" w:fill="EAF6EF"/>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Housekeeping is a standing item on the General Supervisor's shift round.</w:t>
            </w:r>
          </w:p>
        </w:tc>
      </w:tr>
      <w:tr>
        <w:tc>
          <w:tcPr>
            <w:tcW w:type="dxa" w:w="4706"/>
            <w:shd w:val="clear" w:fill="FDECEA"/>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Housekeeping standards vary between work areas.</w:t>
            </w:r>
          </w:p>
        </w:tc>
        <w:tc>
          <w:tcPr>
            <w:tcW w:type="dxa" w:w="4706"/>
            <w:shd w:val="clear" w:fill="EAF6EF"/>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One standard applies across all operational areas.</w:t>
            </w:r>
          </w:p>
        </w:tc>
      </w:tr>
      <w:tr>
        <w:tc>
          <w:tcPr>
            <w:tcW w:type="dxa" w:w="4706"/>
            <w:shd w:val="clear" w:fill="FDECEA"/>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Housekeeping performance is not reported.</w:t>
            </w:r>
          </w:p>
        </w:tc>
        <w:tc>
          <w:tcPr>
            <w:tcW w:type="dxa" w:w="4706"/>
            <w:shd w:val="clear" w:fill="EAF6EF"/>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Housekeeping is measured and reported as set out in section 9.</w:t>
            </w:r>
          </w:p>
        </w:tc>
      </w:tr>
    </w:tbl>
    <w:p>
      <w:pPr>
        <w:spacing w:after="40"/>
      </w:pPr>
    </w:p>
    <w:tbl>
      <w:tblPr>
        <w:tblW w:type="auto" w:w="0"/>
        <w:jc w:val="center"/>
        <w:tblLook w:firstColumn="1" w:firstRow="1" w:lastColumn="0" w:lastRow="0" w:noHBand="0" w:noVBand="1" w:val="04A0"/>
        <w:tblCellMar>
          <w:top w:w="100" w:type="dxa"/>
          <w:left w:w="120" w:type="dxa"/>
          <w:bottom w:w="100" w:type="dxa"/>
          <w:right w:w="120" w:type="dxa"/>
        </w:tblCellMar>
      </w:tblPr>
      <w:tblGrid>
        <w:gridCol w:w="9638"/>
      </w:tblGrid>
      <w:tr>
        <w:tc>
          <w:tcPr>
            <w:tcW w:type="dxa" w:w="9638"/>
            <w:shd w:val="clear" w:fill="14395B"/>
            <w:tcBorders>
              <w:top w:val="single" w:sz="4" w:color="14395B" w:space="0"/>
              <w:left w:val="single" w:sz="4" w:color="14395B" w:space="0"/>
              <w:bottom w:val="single" w:sz="4" w:color="14395B" w:space="0"/>
              <w:right w:val="single" w:sz="4" w:color="14395B" w:space="0"/>
            </w:tcBorders>
          </w:tcPr>
          <w:p>
            <w:pPr>
              <w:spacing w:after="0"/>
            </w:pPr>
            <w:r>
              <w:rPr>
                <w:rFonts w:ascii="Arial" w:hAnsi="Arial" w:eastAsia="Arial"/>
                <w:b/>
                <w:i w:val="0"/>
                <w:color w:val="FFFFFF"/>
                <w:sz w:val="22"/>
              </w:rPr>
              <w:t>PART B — CARGO HOLD CLEANING</w:t>
            </w:r>
            <w:r>
              <w:rPr>
                <w:rFonts w:ascii="Arial" w:hAnsi="Arial" w:eastAsia="Arial"/>
                <w:b w:val="0"/>
                <w:i w:val="0"/>
                <w:color w:val="D8E4EE"/>
                <w:sz w:val="20"/>
              </w:rPr>
              <w:t xml:space="preserve">   · the right equipment at the right moment</w:t>
            </w:r>
          </w:p>
        </w:tc>
      </w:tr>
    </w:tbl>
    <w:p>
      <w:pPr>
        <w:spacing w:after="40"/>
      </w:pPr>
    </w:p>
    <w:p>
      <w:pPr>
        <w:spacing w:before="320" w:after="80"/>
        <w:pBdr>
          <w:bottom w:val="single" w:sz="12" w:space="2" w:color="005781"/>
        </w:pBdr>
        <w:keepNext/>
      </w:pPr>
      <w:r>
        <w:rPr>
          <w:rFonts w:ascii="Arial" w:hAnsi="Arial" w:eastAsia="Arial"/>
          <w:b/>
          <w:i w:val="0"/>
          <w:color w:val="005781"/>
          <w:sz w:val="28"/>
        </w:rPr>
        <w:t xml:space="preserve">6  </w:t>
      </w:r>
      <w:r>
        <w:rPr>
          <w:rFonts w:ascii="Arial" w:hAnsi="Arial" w:eastAsia="Arial"/>
          <w:b/>
          <w:i w:val="0"/>
          <w:color w:val="14395B"/>
          <w:sz w:val="28"/>
        </w:rPr>
        <w:t>Equipment selection and timing</w:t>
      </w:r>
    </w:p>
    <w:p>
      <w:pPr>
        <w:spacing w:after="120" w:before="0"/>
      </w:pPr>
      <w:r>
        <w:rPr>
          <w:rFonts w:ascii="Arial" w:hAnsi="Arial" w:eastAsia="Arial"/>
          <w:b w:val="0"/>
          <w:i w:val="0"/>
          <w:color w:val="232A30"/>
          <w:sz w:val="20"/>
        </w:rPr>
        <w:t xml:space="preserve">The present sequence is the same on every vessel regardless of what it is carrying: loader late, then bobcat, then men. The proposal is to choose the machine on the </w:t>
      </w:r>
      <w:r>
        <w:rPr>
          <w:rFonts w:ascii="Arial" w:hAnsi="Arial" w:eastAsia="Arial"/>
          <w:b/>
          <w:i w:val="0"/>
          <w:color w:val="232A30"/>
          <w:sz w:val="20"/>
        </w:rPr>
        <w:t>cargo type and its condition</w:t>
      </w:r>
      <w:r>
        <w:rPr>
          <w:rFonts w:ascii="Arial" w:hAnsi="Arial" w:eastAsia="Arial"/>
          <w:b w:val="0"/>
          <w:i w:val="0"/>
          <w:color w:val="232A30"/>
          <w:sz w:val="20"/>
        </w:rPr>
        <w:t xml:space="preserve">, and to bring it in </w:t>
      </w:r>
      <w:r>
        <w:rPr>
          <w:rFonts w:ascii="Arial" w:hAnsi="Arial" w:eastAsia="Arial"/>
          <w:b/>
          <w:i w:val="0"/>
          <w:color w:val="232A30"/>
          <w:sz w:val="20"/>
        </w:rPr>
        <w:t>before</w:t>
      </w:r>
      <w:r>
        <w:rPr>
          <w:rFonts w:ascii="Arial" w:hAnsi="Arial" w:eastAsia="Arial"/>
          <w:b w:val="0"/>
          <w:i w:val="0"/>
          <w:color w:val="232A30"/>
          <w:sz w:val="20"/>
        </w:rPr>
        <w:t xml:space="preserve"> the residue has set against the hold sides.</w:t>
      </w:r>
    </w:p>
    <w:tbl>
      <w:tblPr>
        <w:tblW w:type="auto" w:w="0"/>
        <w:tblLayout w:type="fixed"/>
        <w:tblLook w:firstColumn="1" w:firstRow="1" w:lastColumn="0" w:lastRow="0" w:noHBand="0" w:noVBand="1" w:val="04A0"/>
        <w:tblCellMar>
          <w:top w:w="80" w:type="dxa"/>
          <w:left w:w="120" w:type="dxa"/>
          <w:bottom w:w="80" w:type="dxa"/>
          <w:right w:w="120" w:type="dxa"/>
        </w:tblCellMar>
      </w:tblPr>
      <w:tblGrid>
        <w:gridCol w:w="4819"/>
        <w:gridCol w:w="4819"/>
      </w:tblGrid>
      <w:tr>
        <w:trPr>
          <w:tblHeader w:val="true"/>
        </w:trPr>
        <w:tc>
          <w:tcPr>
            <w:tcW w:type="dxa" w:w="4706"/>
            <w:shd w:val="clear" w:fill="B23A2C"/>
            <w:tcBorders>
              <w:top w:val="single" w:sz="4" w:color="B23A2C" w:space="0"/>
              <w:left w:val="single" w:sz="4" w:color="B23A2C" w:space="0"/>
              <w:bottom w:val="single" w:sz="4" w:color="B23A2C" w:space="0"/>
              <w:right w:val="single" w:sz="4" w:color="B23A2C" w:space="0"/>
            </w:tcBorders>
          </w:tcPr>
          <w:p>
            <w:pPr>
              <w:spacing w:after="0"/>
            </w:pPr>
            <w:r>
              <w:rPr>
                <w:rFonts w:ascii="Arial" w:hAnsi="Arial" w:eastAsia="Arial"/>
                <w:b/>
                <w:i w:val="0"/>
                <w:color w:val="FFFFFF"/>
                <w:sz w:val="20"/>
              </w:rPr>
              <w:t>Current state</w:t>
            </w:r>
          </w:p>
        </w:tc>
        <w:tc>
          <w:tcPr>
            <w:tcW w:type="dxa" w:w="4706"/>
            <w:shd w:val="clear" w:fill="1E8A4C"/>
            <w:tcBorders>
              <w:top w:val="single" w:sz="4" w:color="1E8A4C" w:space="0"/>
              <w:left w:val="single" w:sz="4" w:color="1E8A4C" w:space="0"/>
              <w:bottom w:val="single" w:sz="4" w:color="1E8A4C" w:space="0"/>
              <w:right w:val="single" w:sz="4" w:color="1E8A4C" w:space="0"/>
            </w:tcBorders>
          </w:tcPr>
          <w:p>
            <w:pPr>
              <w:spacing w:after="0"/>
            </w:pPr>
            <w:r>
              <w:rPr>
                <w:rFonts w:ascii="Arial" w:hAnsi="Arial" w:eastAsia="Arial"/>
                <w:b/>
                <w:i w:val="0"/>
                <w:color w:val="FFFFFF"/>
                <w:sz w:val="20"/>
              </w:rPr>
              <w:t>Future state</w:t>
            </w:r>
          </w:p>
        </w:tc>
      </w:tr>
      <w:tr>
        <w:tc>
          <w:tcPr>
            <w:tcW w:type="dxa" w:w="4706"/>
            <w:shd w:val="clear" w:fill="FDECEA"/>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 xml:space="preserve">The loader is deployed when approximately </w:t>
            </w:r>
            <w:r>
              <w:rPr>
                <w:rFonts w:ascii="Arial" w:hAnsi="Arial" w:eastAsia="Arial"/>
                <w:b/>
                <w:i w:val="0"/>
                <w:color w:val="232A30"/>
                <w:sz w:val="19"/>
              </w:rPr>
              <w:t>20%</w:t>
            </w:r>
            <w:r>
              <w:rPr>
                <w:rFonts w:ascii="Arial" w:hAnsi="Arial" w:eastAsia="Arial"/>
                <w:b w:val="0"/>
                <w:i w:val="0"/>
                <w:color w:val="232A30"/>
                <w:sz w:val="19"/>
              </w:rPr>
              <w:t xml:space="preserve"> of the cargo remains.</w:t>
            </w:r>
          </w:p>
        </w:tc>
        <w:tc>
          <w:tcPr>
            <w:tcW w:type="dxa" w:w="4706"/>
            <w:shd w:val="clear" w:fill="EAF6EF"/>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 xml:space="preserve">The loader or excavator is deployed </w:t>
            </w:r>
            <w:r>
              <w:rPr>
                <w:rFonts w:ascii="Arial" w:hAnsi="Arial" w:eastAsia="Arial"/>
                <w:b/>
                <w:i w:val="0"/>
                <w:color w:val="232A30"/>
                <w:sz w:val="19"/>
              </w:rPr>
              <w:t>earlier</w:t>
            </w:r>
            <w:r>
              <w:rPr>
                <w:rFonts w:ascii="Arial" w:hAnsi="Arial" w:eastAsia="Arial"/>
                <w:b w:val="0"/>
                <w:i w:val="0"/>
                <w:color w:val="232A30"/>
                <w:sz w:val="19"/>
              </w:rPr>
              <w:t>, to prevent cargo packing into the hold sides and corners. The trigger point is still to be agreed — see section 7.</w:t>
            </w:r>
          </w:p>
        </w:tc>
      </w:tr>
      <w:tr>
        <w:tc>
          <w:tcPr>
            <w:tcW w:type="dxa" w:w="4706"/>
            <w:shd w:val="clear" w:fill="FDECEA"/>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Bobcats and men are used to clear the remaining residue.</w:t>
            </w:r>
          </w:p>
        </w:tc>
        <w:tc>
          <w:tcPr>
            <w:tcW w:type="dxa" w:w="4706"/>
            <w:shd w:val="clear" w:fill="EAF6EF"/>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Equipment is selected on cargo type and condition rather than by fixed sequence.</w:t>
            </w:r>
          </w:p>
        </w:tc>
      </w:tr>
      <w:tr>
        <w:tc>
          <w:tcPr>
            <w:tcW w:type="dxa" w:w="4706"/>
            <w:shd w:val="clear" w:fill="FDECEA"/>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Hardened or compacted material is difficult to remove.</w:t>
            </w:r>
          </w:p>
        </w:tc>
        <w:tc>
          <w:tcPr>
            <w:tcW w:type="dxa" w:w="4706"/>
            <w:shd w:val="clear" w:fill="EAF6EF"/>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An excavator is used on vessels carrying hardened or compacted cargo.</w:t>
            </w:r>
          </w:p>
        </w:tc>
      </w:tr>
      <w:tr>
        <w:tc>
          <w:tcPr>
            <w:tcW w:type="dxa" w:w="4706"/>
            <w:shd w:val="clear" w:fill="FDECEA"/>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Cleaning runs long, and a cherry picker is sometimes needed to reach cargo stuck on the hold sides.</w:t>
            </w:r>
          </w:p>
        </w:tc>
        <w:tc>
          <w:tcPr>
            <w:tcW w:type="dxa" w:w="4706"/>
            <w:shd w:val="clear" w:fill="EAF6EF"/>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Residue is prevented from setting on the hold sides, so the additional access equipment is not called for.</w:t>
            </w:r>
          </w:p>
        </w:tc>
      </w:tr>
      <w:tr>
        <w:tc>
          <w:tcPr>
            <w:tcW w:type="dxa" w:w="4706"/>
            <w:shd w:val="clear" w:fill="FDECEA"/>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Hold handover and vessel departure can be delayed by extended cleaning.</w:t>
            </w:r>
          </w:p>
        </w:tc>
        <w:tc>
          <w:tcPr>
            <w:tcW w:type="dxa" w:w="4706"/>
            <w:shd w:val="clear" w:fill="EAF6EF"/>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Shorter cleaning time, earlier hold handover, and a safer hold to work in.</w:t>
            </w:r>
          </w:p>
        </w:tc>
      </w:tr>
    </w:tbl>
    <w:p>
      <w:pPr>
        <w:spacing w:after="40"/>
      </w:pPr>
    </w:p>
    <w:p>
      <w:pPr>
        <w:spacing w:before="320" w:after="80"/>
        <w:pBdr>
          <w:bottom w:val="single" w:sz="12" w:space="2" w:color="005781"/>
        </w:pBdr>
        <w:keepNext/>
      </w:pPr>
      <w:r>
        <w:rPr>
          <w:rFonts w:ascii="Arial" w:hAnsi="Arial" w:eastAsia="Arial"/>
          <w:b/>
          <w:i w:val="0"/>
          <w:color w:val="005781"/>
          <w:sz w:val="28"/>
        </w:rPr>
        <w:t xml:space="preserve">7  </w:t>
      </w:r>
      <w:r>
        <w:rPr>
          <w:rFonts w:ascii="Arial" w:hAnsi="Arial" w:eastAsia="Arial"/>
          <w:b/>
          <w:i w:val="0"/>
          <w:color w:val="14395B"/>
          <w:sz w:val="28"/>
        </w:rPr>
        <w:t>Earlier machine deployment — the open question</w:t>
      </w:r>
    </w:p>
    <w:p>
      <w:pPr>
        <w:spacing w:after="120" w:before="0"/>
      </w:pPr>
      <w:r>
        <w:rPr>
          <w:rFonts w:ascii="Arial" w:hAnsi="Arial" w:eastAsia="Arial"/>
          <w:b w:val="0"/>
          <w:i w:val="0"/>
          <w:color w:val="232A30"/>
          <w:sz w:val="20"/>
        </w:rPr>
        <w:t xml:space="preserve">The direction is not in dispute: a machine that goes in earlier takes residue out before it hardens. The </w:t>
      </w:r>
      <w:r>
        <w:rPr>
          <w:rFonts w:ascii="Arial" w:hAnsi="Arial" w:eastAsia="Arial"/>
          <w:b/>
          <w:i w:val="0"/>
          <w:color w:val="232A30"/>
          <w:sz w:val="20"/>
        </w:rPr>
        <w:t>figure</w:t>
      </w:r>
      <w:r>
        <w:rPr>
          <w:rFonts w:ascii="Arial" w:hAnsi="Arial" w:eastAsia="Arial"/>
          <w:b w:val="0"/>
          <w:i w:val="0"/>
          <w:color w:val="232A30"/>
          <w:sz w:val="20"/>
        </w:rPr>
        <w:t xml:space="preserve"> and the </w:t>
      </w:r>
      <w:r>
        <w:rPr>
          <w:rFonts w:ascii="Arial" w:hAnsi="Arial" w:eastAsia="Arial"/>
          <w:b/>
          <w:i w:val="0"/>
          <w:color w:val="232A30"/>
          <w:sz w:val="20"/>
        </w:rPr>
        <w:t>method</w:t>
      </w:r>
      <w:r>
        <w:rPr>
          <w:rFonts w:ascii="Arial" w:hAnsi="Arial" w:eastAsia="Arial"/>
          <w:b w:val="0"/>
          <w:i w:val="0"/>
          <w:color w:val="232A30"/>
          <w:sz w:val="20"/>
        </w:rPr>
        <w:t xml:space="preserve"> are not settled, and they are the reason this document is a draft rather than a work instruction.</w:t>
      </w:r>
    </w:p>
    <w:p>
      <w:pPr>
        <w:spacing w:after="120" w:before="0"/>
      </w:pPr>
      <w:r>
        <w:rPr>
          <w:rFonts w:ascii="Arial" w:hAnsi="Arial" w:eastAsia="Arial"/>
          <w:b w:val="0"/>
          <w:i w:val="0"/>
          <w:color w:val="232A30"/>
          <w:sz w:val="20"/>
        </w:rPr>
        <w:t xml:space="preserve">A figure of approximately </w:t>
      </w:r>
      <w:r>
        <w:rPr>
          <w:rFonts w:ascii="Arial" w:hAnsi="Arial" w:eastAsia="Arial"/>
          <w:b/>
          <w:i w:val="0"/>
          <w:color w:val="232A30"/>
          <w:sz w:val="20"/>
        </w:rPr>
        <w:t>60% of cargo remaining</w:t>
      </w:r>
      <w:r>
        <w:rPr>
          <w:rFonts w:ascii="Arial" w:hAnsi="Arial" w:eastAsia="Arial"/>
          <w:b w:val="0"/>
          <w:i w:val="0"/>
          <w:color w:val="232A30"/>
          <w:sz w:val="20"/>
        </w:rPr>
        <w:t xml:space="preserve"> has been put forward, against roughly 20% today. At 60% remaining, the machine and the grab share the hold for a far longer period than they do now. That is a safety question before it is a productivity question, and it has to be answered before a trigger point is written into any instruction.</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fill="FFF6E5"/>
            <w:tcBorders>
              <w:top w:val="single" w:sz="4" w:color="EDD9A8" w:space="0"/>
              <w:left w:val="single" w:sz="28" w:color="C98A12" w:space="0"/>
              <w:bottom w:val="single" w:sz="4" w:color="EDD9A8" w:space="0"/>
              <w:right w:val="single" w:sz="4" w:color="EDD9A8" w:space="0"/>
            </w:tcBorders>
          </w:tcPr>
          <w:p>
            <w:pPr>
              <w:spacing w:after="80"/>
            </w:pPr>
            <w:r>
              <w:rPr>
                <w:rFonts w:ascii="Arial" w:hAnsi="Arial" w:eastAsia="Arial"/>
                <w:b/>
                <w:i w:val="0"/>
                <w:color w:val="8A5E05"/>
                <w:sz w:val="18"/>
              </w:rPr>
              <w:t>TO BE RESOLVED BEFORE APPROVAL</w:t>
            </w:r>
          </w:p>
          <w:p>
            <w:pPr>
              <w:pStyle w:val="ListBullet"/>
              <w:spacing w:after="60"/>
              <w:ind w:left="340"/>
            </w:pPr>
            <w:r>
              <w:rPr>
                <w:rFonts w:ascii="Arial" w:hAnsi="Arial" w:eastAsia="Arial"/>
                <w:b/>
                <w:i w:val="0"/>
                <w:color w:val="232A30"/>
                <w:sz w:val="20"/>
              </w:rPr>
              <w:t>Do the grab and the machine work at the same time, or alternate?</w:t>
            </w:r>
            <w:r>
              <w:rPr>
                <w:rFonts w:ascii="Arial" w:hAnsi="Arial" w:eastAsia="Arial"/>
                <w:b w:val="0"/>
                <w:i w:val="0"/>
                <w:color w:val="232A30"/>
                <w:sz w:val="20"/>
              </w:rPr>
              <w:t xml:space="preserve"> If they alternate, the time the grab stands still has to be set against the cleaning time saved. If they work together, everything below applies.</w:t>
            </w:r>
          </w:p>
          <w:p>
            <w:pPr>
              <w:pStyle w:val="ListBullet"/>
              <w:spacing w:after="60"/>
              <w:ind w:left="340"/>
            </w:pPr>
            <w:r>
              <w:rPr>
                <w:rFonts w:ascii="Arial" w:hAnsi="Arial" w:eastAsia="Arial"/>
                <w:b/>
                <w:i w:val="0"/>
                <w:color w:val="232A30"/>
                <w:sz w:val="20"/>
              </w:rPr>
              <w:t>Separation.</w:t>
            </w:r>
            <w:r>
              <w:rPr>
                <w:rFonts w:ascii="Arial" w:hAnsi="Arial" w:eastAsia="Arial"/>
                <w:b w:val="0"/>
                <w:i w:val="0"/>
                <w:color w:val="232A30"/>
                <w:sz w:val="20"/>
              </w:rPr>
              <w:t xml:space="preserve"> Exclusion zone around the machine, the grab's working corner, and how the operator is kept out of the grab's swing.</w:t>
            </w:r>
          </w:p>
          <w:p>
            <w:pPr>
              <w:pStyle w:val="ListBullet"/>
              <w:spacing w:after="60"/>
              <w:ind w:left="340"/>
            </w:pPr>
            <w:r>
              <w:rPr>
                <w:rFonts w:ascii="Arial" w:hAnsi="Arial" w:eastAsia="Arial"/>
                <w:b/>
                <w:i w:val="0"/>
                <w:color w:val="232A30"/>
                <w:sz w:val="20"/>
              </w:rPr>
              <w:t>Communication.</w:t>
            </w:r>
            <w:r>
              <w:rPr>
                <w:rFonts w:ascii="Arial" w:hAnsi="Arial" w:eastAsia="Arial"/>
                <w:b w:val="0"/>
                <w:i w:val="0"/>
                <w:color w:val="232A30"/>
                <w:sz w:val="20"/>
              </w:rPr>
              <w:t xml:space="preserve"> Who directs the crane while a machine is under it, and by what means.</w:t>
            </w:r>
          </w:p>
          <w:p>
            <w:pPr>
              <w:pStyle w:val="ListBullet"/>
              <w:spacing w:after="60"/>
              <w:ind w:left="340"/>
            </w:pPr>
            <w:r>
              <w:rPr>
                <w:rFonts w:ascii="Arial" w:hAnsi="Arial" w:eastAsia="Arial"/>
                <w:b/>
                <w:i w:val="0"/>
                <w:color w:val="232A30"/>
                <w:sz w:val="20"/>
              </w:rPr>
              <w:t>Access and egress</w:t>
            </w:r>
            <w:r>
              <w:rPr>
                <w:rFonts w:ascii="Arial" w:hAnsi="Arial" w:eastAsia="Arial"/>
                <w:b w:val="0"/>
                <w:i w:val="0"/>
                <w:color w:val="232A30"/>
                <w:sz w:val="20"/>
              </w:rPr>
              <w:t xml:space="preserve"> for the machine operator while discharge continues, and the means of escape from the hold.</w:t>
            </w:r>
          </w:p>
          <w:p>
            <w:pPr>
              <w:pStyle w:val="ListBullet"/>
              <w:spacing w:after="60"/>
              <w:ind w:left="340"/>
            </w:pPr>
            <w:r>
              <w:rPr>
                <w:rFonts w:ascii="Arial" w:hAnsi="Arial" w:eastAsia="Arial"/>
                <w:b/>
                <w:i w:val="0"/>
                <w:color w:val="232A30"/>
                <w:sz w:val="20"/>
              </w:rPr>
              <w:t>Risk assessment and method statement</w:t>
            </w:r>
            <w:r>
              <w:rPr>
                <w:rFonts w:ascii="Arial" w:hAnsi="Arial" w:eastAsia="Arial"/>
                <w:b w:val="0"/>
                <w:i w:val="0"/>
                <w:color w:val="232A30"/>
                <w:sz w:val="20"/>
              </w:rPr>
              <w:t xml:space="preserve"> covering machine-in-hold during active discharge, approved before first use.</w:t>
            </w:r>
          </w:p>
          <w:p>
            <w:pPr>
              <w:pStyle w:val="ListBullet"/>
              <w:spacing w:after="60"/>
              <w:ind w:left="340"/>
            </w:pPr>
            <w:r>
              <w:rPr>
                <w:rFonts w:ascii="Arial" w:hAnsi="Arial" w:eastAsia="Arial"/>
                <w:b/>
                <w:i w:val="0"/>
                <w:color w:val="232A30"/>
                <w:sz w:val="20"/>
              </w:rPr>
              <w:t>Which cargoes it applies to.</w:t>
            </w:r>
            <w:r>
              <w:rPr>
                <w:rFonts w:ascii="Arial" w:hAnsi="Arial" w:eastAsia="Arial"/>
                <w:b w:val="0"/>
                <w:i w:val="0"/>
                <w:color w:val="232A30"/>
                <w:sz w:val="20"/>
              </w:rPr>
              <w:t xml:space="preserve"> Free-flowing material may not need an early machine at all; hardened and compacted material is where the case is strongest.</w:t>
            </w:r>
          </w:p>
          <w:p>
            <w:pPr>
              <w:pStyle w:val="ListBullet"/>
              <w:spacing w:after="60"/>
              <w:ind w:left="340"/>
            </w:pPr>
            <w:r>
              <w:rPr>
                <w:rFonts w:ascii="Arial" w:hAnsi="Arial" w:eastAsia="Arial"/>
                <w:b/>
                <w:i w:val="0"/>
                <w:color w:val="232A30"/>
                <w:sz w:val="20"/>
              </w:rPr>
              <w:t>The trigger figure itself.</w:t>
            </w:r>
            <w:r>
              <w:rPr>
                <w:rFonts w:ascii="Arial" w:hAnsi="Arial" w:eastAsia="Arial"/>
                <w:b w:val="0"/>
                <w:i w:val="0"/>
                <w:color w:val="232A30"/>
                <w:sz w:val="20"/>
              </w:rPr>
              <w:t xml:space="preserve"> 60% is a proposal, not a finding. It should be confirmed on a small number of vessels with the time recorded, and set from that.</w:t>
            </w:r>
          </w:p>
        </w:tc>
      </w:tr>
    </w:tbl>
    <w:p>
      <w:pPr>
        <w:spacing w:after="40"/>
      </w:pPr>
    </w:p>
    <w:tbl>
      <w:tblPr>
        <w:tblW w:type="auto" w:w="0"/>
        <w:jc w:val="center"/>
        <w:tblLook w:firstColumn="1" w:firstRow="1" w:lastColumn="0" w:lastRow="0" w:noHBand="0" w:noVBand="1" w:val="04A0"/>
        <w:tblCellMar>
          <w:top w:w="100" w:type="dxa"/>
          <w:left w:w="120" w:type="dxa"/>
          <w:bottom w:w="100" w:type="dxa"/>
          <w:right w:w="120" w:type="dxa"/>
        </w:tblCellMar>
      </w:tblPr>
      <w:tblGrid>
        <w:gridCol w:w="9638"/>
      </w:tblGrid>
      <w:tr>
        <w:tc>
          <w:tcPr>
            <w:tcW w:type="dxa" w:w="9638"/>
            <w:shd w:val="clear" w:fill="14395B"/>
            <w:tcBorders>
              <w:top w:val="single" w:sz="4" w:color="14395B" w:space="0"/>
              <w:left w:val="single" w:sz="4" w:color="14395B" w:space="0"/>
              <w:bottom w:val="single" w:sz="4" w:color="14395B" w:space="0"/>
              <w:right w:val="single" w:sz="4" w:color="14395B" w:space="0"/>
            </w:tcBorders>
          </w:tcPr>
          <w:p>
            <w:pPr>
              <w:spacing w:after="0"/>
            </w:pPr>
            <w:r>
              <w:rPr>
                <w:rFonts w:ascii="Arial" w:hAnsi="Arial" w:eastAsia="Arial"/>
                <w:b/>
                <w:i w:val="0"/>
                <w:color w:val="FFFFFF"/>
                <w:sz w:val="22"/>
              </w:rPr>
              <w:t>COMMON — RESPONSIBILITIES, MEASUREMENT AND NEXT STEPS</w:t>
            </w:r>
          </w:p>
        </w:tc>
      </w:tr>
    </w:tbl>
    <w:p>
      <w:pPr>
        <w:spacing w:after="40"/>
      </w:pPr>
    </w:p>
    <w:p>
      <w:pPr>
        <w:spacing w:before="320" w:after="80"/>
        <w:pBdr>
          <w:bottom w:val="single" w:sz="12" w:space="2" w:color="005781"/>
        </w:pBdr>
        <w:keepNext/>
      </w:pPr>
      <w:r>
        <w:rPr>
          <w:rFonts w:ascii="Arial" w:hAnsi="Arial" w:eastAsia="Arial"/>
          <w:b/>
          <w:i w:val="0"/>
          <w:color w:val="005781"/>
          <w:sz w:val="28"/>
        </w:rPr>
        <w:t xml:space="preserve">8  </w:t>
      </w:r>
      <w:r>
        <w:rPr>
          <w:rFonts w:ascii="Arial" w:hAnsi="Arial" w:eastAsia="Arial"/>
          <w:b/>
          <w:i w:val="0"/>
          <w:color w:val="14395B"/>
          <w:sz w:val="28"/>
        </w:rPr>
        <w:t>Responsibilities</w:t>
      </w:r>
    </w:p>
    <w:tbl>
      <w:tblPr>
        <w:tblW w:type="auto" w:w="0"/>
        <w:tblLayout w:type="fixed"/>
        <w:tblLook w:firstColumn="1" w:firstRow="1" w:lastColumn="0" w:lastRow="0" w:noHBand="0" w:noVBand="1" w:val="04A0"/>
        <w:tblCellMar>
          <w:top w:w="80" w:type="dxa"/>
          <w:left w:w="120" w:type="dxa"/>
          <w:bottom w:w="80" w:type="dxa"/>
          <w:right w:w="120" w:type="dxa"/>
        </w:tblCellMar>
      </w:tblPr>
      <w:tblGrid>
        <w:gridCol w:w="4819"/>
        <w:gridCol w:w="4819"/>
      </w:tblGrid>
      <w:tr>
        <w:trPr>
          <w:tblHeader w:val="true"/>
        </w:trPr>
        <w:tc>
          <w:tcPr>
            <w:tcW w:type="dxa" w:w="2438"/>
            <w:shd w:val="clear" w:fill="14395B"/>
            <w:tcBorders>
              <w:top w:val="single" w:sz="4" w:color="14395B" w:space="0"/>
              <w:left w:val="single" w:sz="4" w:color="14395B" w:space="0"/>
              <w:bottom w:val="single" w:sz="4" w:color="14395B" w:space="0"/>
              <w:right w:val="single" w:sz="4" w:color="14395B" w:space="0"/>
            </w:tcBorders>
          </w:tcPr>
          <w:p>
            <w:pPr>
              <w:spacing w:after="0"/>
            </w:pPr>
            <w:r>
              <w:rPr>
                <w:rFonts w:ascii="Arial" w:hAnsi="Arial" w:eastAsia="Arial"/>
                <w:b/>
                <w:i w:val="0"/>
                <w:color w:val="FFFFFF"/>
                <w:sz w:val="19"/>
              </w:rPr>
              <w:t>Role</w:t>
            </w:r>
          </w:p>
        </w:tc>
        <w:tc>
          <w:tcPr>
            <w:tcW w:type="dxa" w:w="6973"/>
            <w:shd w:val="clear" w:fill="14395B"/>
            <w:tcBorders>
              <w:top w:val="single" w:sz="4" w:color="14395B" w:space="0"/>
              <w:left w:val="single" w:sz="4" w:color="14395B" w:space="0"/>
              <w:bottom w:val="single" w:sz="4" w:color="14395B" w:space="0"/>
              <w:right w:val="single" w:sz="4" w:color="14395B" w:space="0"/>
            </w:tcBorders>
          </w:tcPr>
          <w:p>
            <w:pPr>
              <w:spacing w:after="0"/>
            </w:pPr>
            <w:r>
              <w:rPr>
                <w:rFonts w:ascii="Arial" w:hAnsi="Arial" w:eastAsia="Arial"/>
                <w:b/>
                <w:i w:val="0"/>
                <w:color w:val="FFFFFF"/>
                <w:sz w:val="19"/>
              </w:rPr>
              <w:t>Responsibility</w:t>
            </w:r>
          </w:p>
        </w:tc>
      </w:tr>
      <w:tr>
        <w:tc>
          <w:tcPr>
            <w:tcW w:type="dxa" w:w="2438"/>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i w:val="0"/>
                <w:color w:val="232A30"/>
                <w:sz w:val="19"/>
              </w:rPr>
              <w:t>Supervisor (vessel)</w:t>
            </w:r>
          </w:p>
        </w:tc>
        <w:tc>
          <w:tcPr>
            <w:tcW w:type="dxa" w:w="6973"/>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Ensures skip boxes are in the holds and in use from the start of discharge. Monitors cleaning progress through the shift and ensures it does not delay the operation. Calls for skip exchange before the skip is full.</w:t>
            </w:r>
          </w:p>
        </w:tc>
      </w:tr>
      <w:tr>
        <w:tc>
          <w:tcPr>
            <w:tcW w:type="dxa" w:w="2438"/>
            <w:shd w:val="clear" w:fill="F7FAFD"/>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i w:val="0"/>
                <w:color w:val="232A30"/>
                <w:sz w:val="19"/>
              </w:rPr>
              <w:t>Foreman (gang)</w:t>
            </w:r>
          </w:p>
        </w:tc>
        <w:tc>
          <w:tcPr>
            <w:tcW w:type="dxa" w:w="6973"/>
            <w:shd w:val="clear" w:fill="F7FAFD"/>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Keeps dunnage and waste out of the working area at source — into the correct skip or big bag, not onto the tank top or the quay.</w:t>
            </w:r>
          </w:p>
        </w:tc>
      </w:tr>
      <w:tr>
        <w:tc>
          <w:tcPr>
            <w:tcW w:type="dxa" w:w="2438"/>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i w:val="0"/>
                <w:color w:val="232A30"/>
                <w:sz w:val="19"/>
              </w:rPr>
              <w:t>General Supervisor</w:t>
            </w:r>
          </w:p>
        </w:tc>
        <w:tc>
          <w:tcPr>
            <w:tcW w:type="dxa" w:w="6973"/>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Covers housekeeping and cleaning progress on the shift round, alongside the safety check. Identifies which hold has priority for cleaning and records the berth condition.</w:t>
            </w:r>
          </w:p>
        </w:tc>
      </w:tr>
      <w:tr>
        <w:tc>
          <w:tcPr>
            <w:tcW w:type="dxa" w:w="2438"/>
            <w:shd w:val="clear" w:fill="F7FAFD"/>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i w:val="0"/>
                <w:color w:val="232A30"/>
                <w:sz w:val="19"/>
              </w:rPr>
              <w:t>Operations planning</w:t>
            </w:r>
          </w:p>
        </w:tc>
        <w:tc>
          <w:tcPr>
            <w:tcW w:type="dxa" w:w="6973"/>
            <w:shd w:val="clear" w:fill="F7FAFD"/>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Designates the skip set-down area at each berth and maintains the buffer stock of skips across working berths.</w:t>
            </w:r>
          </w:p>
        </w:tc>
      </w:tr>
      <w:tr>
        <w:tc>
          <w:tcPr>
            <w:tcW w:type="dxa" w:w="2438"/>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i w:val="0"/>
                <w:color w:val="232A30"/>
                <w:sz w:val="19"/>
              </w:rPr>
              <w:t>OMWT interface</w:t>
            </w:r>
          </w:p>
        </w:tc>
        <w:tc>
          <w:tcPr>
            <w:tcW w:type="dxa" w:w="6973"/>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Clearance of full skips from the disposal area and return of empties, to the agreed capacity and response time.</w:t>
            </w:r>
          </w:p>
        </w:tc>
      </w:tr>
    </w:tbl>
    <w:p>
      <w:pPr>
        <w:spacing w:after="40"/>
      </w:pPr>
    </w:p>
    <w:p>
      <w:pPr>
        <w:spacing w:before="320" w:after="80"/>
        <w:pBdr>
          <w:bottom w:val="single" w:sz="12" w:space="2" w:color="005781"/>
        </w:pBdr>
        <w:keepNext/>
      </w:pPr>
      <w:r>
        <w:rPr>
          <w:rFonts w:ascii="Arial" w:hAnsi="Arial" w:eastAsia="Arial"/>
          <w:b/>
          <w:i w:val="0"/>
          <w:color w:val="005781"/>
          <w:sz w:val="28"/>
        </w:rPr>
        <w:t xml:space="preserve">9  </w:t>
      </w:r>
      <w:r>
        <w:rPr>
          <w:rFonts w:ascii="Arial" w:hAnsi="Arial" w:eastAsia="Arial"/>
          <w:b/>
          <w:i w:val="0"/>
          <w:color w:val="14395B"/>
          <w:sz w:val="28"/>
        </w:rPr>
        <w:t>How this will be measured</w:t>
      </w:r>
    </w:p>
    <w:p>
      <w:pPr>
        <w:spacing w:after="120" w:before="0"/>
      </w:pPr>
      <w:r>
        <w:rPr>
          <w:rFonts w:ascii="Arial" w:hAnsi="Arial" w:eastAsia="Arial"/>
          <w:b w:val="0"/>
          <w:i w:val="0"/>
          <w:color w:val="232A30"/>
          <w:sz w:val="20"/>
        </w:rPr>
        <w:t>The original intent included performance indicators but did not name them. The following four are proposed, and the first of them is a precondition for the rest.</w:t>
      </w:r>
    </w:p>
    <w:tbl>
      <w:tblPr>
        <w:tblW w:type="auto" w:w="0"/>
        <w:tblLayout w:type="fixed"/>
        <w:tblLook w:firstColumn="1" w:firstRow="1" w:lastColumn="0" w:lastRow="0" w:noHBand="0" w:noVBand="1" w:val="04A0"/>
        <w:tblCellMar>
          <w:top w:w="80" w:type="dxa"/>
          <w:left w:w="120" w:type="dxa"/>
          <w:bottom w:w="80" w:type="dxa"/>
          <w:right w:w="120" w:type="dxa"/>
        </w:tblCellMar>
      </w:tblPr>
      <w:tblGrid>
        <w:gridCol w:w="4819"/>
        <w:gridCol w:w="4819"/>
      </w:tblGrid>
      <w:tr>
        <w:trPr>
          <w:tblHeader w:val="true"/>
        </w:trPr>
        <w:tc>
          <w:tcPr>
            <w:tcW w:type="dxa" w:w="2721"/>
            <w:shd w:val="clear" w:fill="14395B"/>
            <w:tcBorders>
              <w:top w:val="single" w:sz="4" w:color="14395B" w:space="0"/>
              <w:left w:val="single" w:sz="4" w:color="14395B" w:space="0"/>
              <w:bottom w:val="single" w:sz="4" w:color="14395B" w:space="0"/>
              <w:right w:val="single" w:sz="4" w:color="14395B" w:space="0"/>
            </w:tcBorders>
          </w:tcPr>
          <w:p>
            <w:pPr>
              <w:spacing w:after="0"/>
            </w:pPr>
            <w:r>
              <w:rPr>
                <w:rFonts w:ascii="Arial" w:hAnsi="Arial" w:eastAsia="Arial"/>
                <w:b/>
                <w:i w:val="0"/>
                <w:color w:val="FFFFFF"/>
                <w:sz w:val="19"/>
              </w:rPr>
              <w:t>Indicator</w:t>
            </w:r>
          </w:p>
        </w:tc>
        <w:tc>
          <w:tcPr>
            <w:tcW w:type="dxa" w:w="6690"/>
            <w:shd w:val="clear" w:fill="14395B"/>
            <w:tcBorders>
              <w:top w:val="single" w:sz="4" w:color="14395B" w:space="0"/>
              <w:left w:val="single" w:sz="4" w:color="14395B" w:space="0"/>
              <w:bottom w:val="single" w:sz="4" w:color="14395B" w:space="0"/>
              <w:right w:val="single" w:sz="4" w:color="14395B" w:space="0"/>
            </w:tcBorders>
          </w:tcPr>
          <w:p>
            <w:pPr>
              <w:spacing w:after="0"/>
            </w:pPr>
            <w:r>
              <w:rPr>
                <w:rFonts w:ascii="Arial" w:hAnsi="Arial" w:eastAsia="Arial"/>
                <w:b/>
                <w:i w:val="0"/>
                <w:color w:val="FFFFFF"/>
                <w:sz w:val="19"/>
              </w:rPr>
              <w:t>Definition and source</w:t>
            </w:r>
          </w:p>
        </w:tc>
      </w:tr>
      <w:tr>
        <w:tc>
          <w:tcPr>
            <w:tcW w:type="dxa" w:w="2721"/>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i w:val="0"/>
                <w:color w:val="232A30"/>
                <w:sz w:val="19"/>
              </w:rPr>
              <w:t>Hold cleaning time</w:t>
            </w:r>
          </w:p>
        </w:tc>
        <w:tc>
          <w:tcPr>
            <w:tcW w:type="dxa" w:w="6690"/>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 xml:space="preserve">Start and finish of cleaning per hold, recorded on the gang tally. </w:t>
            </w:r>
            <w:r>
              <w:rPr>
                <w:rFonts w:ascii="Arial" w:hAnsi="Arial" w:eastAsia="Arial"/>
                <w:b/>
                <w:i w:val="0"/>
                <w:color w:val="232A30"/>
                <w:sz w:val="19"/>
              </w:rPr>
              <w:t>This does not exist today</w:t>
            </w:r>
            <w:r>
              <w:rPr>
                <w:rFonts w:ascii="Arial" w:hAnsi="Arial" w:eastAsia="Arial"/>
                <w:b w:val="0"/>
                <w:i w:val="0"/>
                <w:color w:val="232A30"/>
                <w:sz w:val="19"/>
              </w:rPr>
              <w:t xml:space="preserve"> — it requires a cleaning line to be added to the productivity report. Without it, nothing else in this section can be assessed.</w:t>
            </w:r>
          </w:p>
        </w:tc>
      </w:tr>
      <w:tr>
        <w:tc>
          <w:tcPr>
            <w:tcW w:type="dxa" w:w="2721"/>
            <w:shd w:val="clear" w:fill="F7FAFD"/>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i w:val="0"/>
                <w:color w:val="232A30"/>
                <w:sz w:val="19"/>
              </w:rPr>
              <w:t>Hold handover time</w:t>
            </w:r>
          </w:p>
        </w:tc>
        <w:tc>
          <w:tcPr>
            <w:tcW w:type="dxa" w:w="6690"/>
            <w:shd w:val="clear" w:fill="F7FAFD"/>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Hours from last cargo out of the hold to the hold being accepted. Derived from the same record.</w:t>
            </w:r>
          </w:p>
        </w:tc>
      </w:tr>
      <w:tr>
        <w:tc>
          <w:tcPr>
            <w:tcW w:type="dxa" w:w="2721"/>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i w:val="0"/>
                <w:color w:val="232A30"/>
                <w:sz w:val="19"/>
              </w:rPr>
              <w:t>Skip availability</w:t>
            </w:r>
          </w:p>
        </w:tc>
        <w:tc>
          <w:tcPr>
            <w:tcW w:type="dxa" w:w="6690"/>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Number of shifts on which a skip was required and not available. Recorded by the supervisor as an exception, not as a routine count.</w:t>
            </w:r>
          </w:p>
        </w:tc>
      </w:tr>
      <w:tr>
        <w:tc>
          <w:tcPr>
            <w:tcW w:type="dxa" w:w="2721"/>
            <w:shd w:val="clear" w:fill="F7FAFD"/>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i w:val="0"/>
                <w:color w:val="232A30"/>
                <w:sz w:val="19"/>
              </w:rPr>
              <w:t>Berth housekeeping condition</w:t>
            </w:r>
          </w:p>
        </w:tc>
        <w:tc>
          <w:tcPr>
            <w:tcW w:type="dxa" w:w="6690"/>
            <w:shd w:val="clear" w:fill="F7FAFD"/>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Pass or fail per working berth on the General Supervisor's shift round, with the reason noted on a fail.</w:t>
            </w:r>
          </w:p>
        </w:tc>
      </w:tr>
    </w:tbl>
    <w:p>
      <w:pPr>
        <w:spacing w:after="40"/>
      </w:pP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fill="FFF6E5"/>
            <w:tcBorders>
              <w:top w:val="single" w:sz="4" w:color="EDD9A8" w:space="0"/>
              <w:left w:val="single" w:sz="28" w:color="C98A12" w:space="0"/>
              <w:bottom w:val="single" w:sz="4" w:color="EDD9A8" w:space="0"/>
              <w:right w:val="single" w:sz="4" w:color="EDD9A8" w:space="0"/>
            </w:tcBorders>
          </w:tcPr>
          <w:p>
            <w:pPr>
              <w:spacing w:after="80"/>
            </w:pPr>
            <w:r>
              <w:rPr>
                <w:rFonts w:ascii="Arial" w:hAnsi="Arial" w:eastAsia="Arial"/>
                <w:b/>
                <w:i w:val="0"/>
                <w:color w:val="8A5E05"/>
                <w:sz w:val="18"/>
              </w:rPr>
              <w:t>NO TARGETS IN THIS REVISION</w:t>
            </w:r>
          </w:p>
          <w:p>
            <w:pPr>
              <w:spacing w:after="60"/>
            </w:pPr>
            <w:r>
              <w:rPr>
                <w:rFonts w:ascii="Arial" w:hAnsi="Arial" w:eastAsia="Arial"/>
                <w:b w:val="0"/>
                <w:i w:val="0"/>
                <w:color w:val="232A30"/>
                <w:sz w:val="20"/>
              </w:rPr>
              <w:t>Target values are deliberately not set here. A target measured against an unknown starting point cannot be judged met or missed. Targets are to be set after a baseline period — proposed as the first full month in which cleaning time is recorded.</w:t>
            </w:r>
          </w:p>
        </w:tc>
      </w:tr>
    </w:tbl>
    <w:p>
      <w:pPr>
        <w:spacing w:after="40"/>
      </w:pPr>
    </w:p>
    <w:p>
      <w:pPr>
        <w:spacing w:before="320" w:after="80"/>
        <w:pBdr>
          <w:bottom w:val="single" w:sz="12" w:space="2" w:color="005781"/>
        </w:pBdr>
        <w:keepNext/>
      </w:pPr>
      <w:r>
        <w:rPr>
          <w:rFonts w:ascii="Arial" w:hAnsi="Arial" w:eastAsia="Arial"/>
          <w:b/>
          <w:i w:val="0"/>
          <w:color w:val="005781"/>
          <w:sz w:val="28"/>
        </w:rPr>
        <w:t xml:space="preserve">10  </w:t>
      </w:r>
      <w:r>
        <w:rPr>
          <w:rFonts w:ascii="Arial" w:hAnsi="Arial" w:eastAsia="Arial"/>
          <w:b/>
          <w:i w:val="0"/>
          <w:color w:val="14395B"/>
          <w:sz w:val="28"/>
        </w:rPr>
        <w:t>Decisions required</w:t>
      </w:r>
    </w:p>
    <w:tbl>
      <w:tblPr>
        <w:tblW w:type="auto" w:w="0"/>
        <w:tblLayout w:type="fixed"/>
        <w:tblLook w:firstColumn="1" w:firstRow="1" w:lastColumn="0" w:lastRow="0" w:noHBand="0" w:noVBand="1" w:val="04A0"/>
        <w:tblCellMar>
          <w:top w:w="80" w:type="dxa"/>
          <w:left w:w="120" w:type="dxa"/>
          <w:bottom w:w="80" w:type="dxa"/>
          <w:right w:w="120" w:type="dxa"/>
        </w:tblCellMar>
      </w:tblPr>
      <w:tblGrid>
        <w:gridCol w:w="3213"/>
        <w:gridCol w:w="3213"/>
        <w:gridCol w:w="3213"/>
      </w:tblGrid>
      <w:tr>
        <w:trPr>
          <w:tblHeader w:val="true"/>
        </w:trPr>
        <w:tc>
          <w:tcPr>
            <w:tcW w:type="dxa" w:w="2438"/>
            <w:shd w:val="clear" w:fill="14395B"/>
            <w:tcBorders>
              <w:top w:val="single" w:sz="4" w:color="14395B" w:space="0"/>
              <w:left w:val="single" w:sz="4" w:color="14395B" w:space="0"/>
              <w:bottom w:val="single" w:sz="4" w:color="14395B" w:space="0"/>
              <w:right w:val="single" w:sz="4" w:color="14395B" w:space="0"/>
            </w:tcBorders>
          </w:tcPr>
          <w:p>
            <w:pPr>
              <w:spacing w:after="0"/>
            </w:pPr>
            <w:r>
              <w:rPr>
                <w:rFonts w:ascii="Arial" w:hAnsi="Arial" w:eastAsia="Arial"/>
                <w:b/>
                <w:i w:val="0"/>
                <w:color w:val="FFFFFF"/>
                <w:sz w:val="19"/>
              </w:rPr>
              <w:t>Item</w:t>
            </w:r>
          </w:p>
        </w:tc>
        <w:tc>
          <w:tcPr>
            <w:tcW w:type="dxa" w:w="4535"/>
            <w:shd w:val="clear" w:fill="14395B"/>
            <w:tcBorders>
              <w:top w:val="single" w:sz="4" w:color="14395B" w:space="0"/>
              <w:left w:val="single" w:sz="4" w:color="14395B" w:space="0"/>
              <w:bottom w:val="single" w:sz="4" w:color="14395B" w:space="0"/>
              <w:right w:val="single" w:sz="4" w:color="14395B" w:space="0"/>
            </w:tcBorders>
          </w:tcPr>
          <w:p>
            <w:pPr>
              <w:spacing w:after="0"/>
            </w:pPr>
            <w:r>
              <w:rPr>
                <w:rFonts w:ascii="Arial" w:hAnsi="Arial" w:eastAsia="Arial"/>
                <w:b/>
                <w:i w:val="0"/>
                <w:color w:val="FFFFFF"/>
                <w:sz w:val="19"/>
              </w:rPr>
              <w:t>Decision needed</w:t>
            </w:r>
          </w:p>
        </w:tc>
        <w:tc>
          <w:tcPr>
            <w:tcW w:type="dxa" w:w="2438"/>
            <w:shd w:val="clear" w:fill="14395B"/>
            <w:tcBorders>
              <w:top w:val="single" w:sz="4" w:color="14395B" w:space="0"/>
              <w:left w:val="single" w:sz="4" w:color="14395B" w:space="0"/>
              <w:bottom w:val="single" w:sz="4" w:color="14395B" w:space="0"/>
              <w:right w:val="single" w:sz="4" w:color="14395B" w:space="0"/>
            </w:tcBorders>
          </w:tcPr>
          <w:p>
            <w:pPr>
              <w:spacing w:after="0"/>
            </w:pPr>
            <w:r>
              <w:rPr>
                <w:rFonts w:ascii="Arial" w:hAnsi="Arial" w:eastAsia="Arial"/>
                <w:b/>
                <w:i w:val="0"/>
                <w:color w:val="FFFFFF"/>
                <w:sz w:val="19"/>
              </w:rPr>
              <w:t>To be taken by</w:t>
            </w:r>
          </w:p>
        </w:tc>
      </w:tr>
      <w:tr>
        <w:tc>
          <w:tcPr>
            <w:tcW w:type="dxa" w:w="2438"/>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i w:val="0"/>
                <w:color w:val="232A30"/>
                <w:sz w:val="19"/>
              </w:rPr>
              <w:t>Machine trigger point</w:t>
            </w:r>
          </w:p>
        </w:tc>
        <w:tc>
          <w:tcPr>
            <w:tcW w:type="dxa" w:w="4535"/>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Confirm whether the machine enters at a fixed percentage of cargo remaining, and at what figure. 60% proposed against 20% today.</w:t>
            </w:r>
          </w:p>
        </w:tc>
        <w:tc>
          <w:tcPr>
            <w:tcW w:type="dxa" w:w="2438"/>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Operations Management with HSE</w:t>
            </w:r>
          </w:p>
        </w:tc>
      </w:tr>
      <w:tr>
        <w:tc>
          <w:tcPr>
            <w:tcW w:type="dxa" w:w="2438"/>
            <w:shd w:val="clear" w:fill="F7FAFD"/>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i w:val="0"/>
                <w:color w:val="232A30"/>
                <w:sz w:val="19"/>
              </w:rPr>
              <w:t>Machine and grab in one hold</w:t>
            </w:r>
          </w:p>
        </w:tc>
        <w:tc>
          <w:tcPr>
            <w:tcW w:type="dxa" w:w="4535"/>
            <w:shd w:val="clear" w:fill="F7FAFD"/>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Simultaneous working or alternating. Risk assessment and method statement approved before first use.</w:t>
            </w:r>
          </w:p>
        </w:tc>
        <w:tc>
          <w:tcPr>
            <w:tcW w:type="dxa" w:w="2438"/>
            <w:shd w:val="clear" w:fill="F7FAFD"/>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HSE with Operations Management</w:t>
            </w:r>
          </w:p>
        </w:tc>
      </w:tr>
      <w:tr>
        <w:tc>
          <w:tcPr>
            <w:tcW w:type="dxa" w:w="2438"/>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i w:val="0"/>
                <w:color w:val="232A30"/>
                <w:sz w:val="19"/>
              </w:rPr>
              <w:t>Skip capacity standard</w:t>
            </w:r>
          </w:p>
        </w:tc>
        <w:tc>
          <w:tcPr>
            <w:tcW w:type="dxa" w:w="4535"/>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Agree a minimum working capacity of 9 CBM with OMWT, and the buffer stock to be held on terminal.</w:t>
            </w:r>
          </w:p>
        </w:tc>
        <w:tc>
          <w:tcPr>
            <w:tcW w:type="dxa" w:w="2438"/>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Operations Management with OMWT</w:t>
            </w:r>
          </w:p>
        </w:tc>
      </w:tr>
      <w:tr>
        <w:tc>
          <w:tcPr>
            <w:tcW w:type="dxa" w:w="2438"/>
            <w:shd w:val="clear" w:fill="F7FAFD"/>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i w:val="0"/>
                <w:color w:val="232A30"/>
                <w:sz w:val="19"/>
              </w:rPr>
              <w:t>Cleaning time on the report</w:t>
            </w:r>
          </w:p>
        </w:tc>
        <w:tc>
          <w:tcPr>
            <w:tcW w:type="dxa" w:w="4535"/>
            <w:shd w:val="clear" w:fill="F7FAFD"/>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Approve the addition of a cleaning record to the productivity report so that a baseline can be established.</w:t>
            </w:r>
          </w:p>
        </w:tc>
        <w:tc>
          <w:tcPr>
            <w:tcW w:type="dxa" w:w="2438"/>
            <w:shd w:val="clear" w:fill="F7FAFD"/>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Operations Management</w:t>
            </w:r>
          </w:p>
        </w:tc>
      </w:tr>
      <w:tr>
        <w:tc>
          <w:tcPr>
            <w:tcW w:type="dxa" w:w="2438"/>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i w:val="0"/>
                <w:color w:val="232A30"/>
                <w:sz w:val="19"/>
              </w:rPr>
              <w:t>Work instruction</w:t>
            </w:r>
          </w:p>
        </w:tc>
        <w:tc>
          <w:tcPr>
            <w:tcW w:type="dxa" w:w="4535"/>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Issue the Housekeeping Work Instruction once the items above are settled.</w:t>
            </w:r>
          </w:p>
        </w:tc>
        <w:tc>
          <w:tcPr>
            <w:tcW w:type="dxa" w:w="2438"/>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val="0"/>
                <w:i w:val="0"/>
                <w:color w:val="232A30"/>
                <w:sz w:val="19"/>
              </w:rPr>
              <w:t>Operations Excellence Programme</w:t>
            </w:r>
          </w:p>
        </w:tc>
      </w:tr>
    </w:tbl>
    <w:p>
      <w:pPr>
        <w:spacing w:after="40"/>
      </w:pPr>
    </w:p>
    <w:p>
      <w:pPr>
        <w:spacing w:before="320" w:after="80"/>
        <w:pBdr>
          <w:bottom w:val="single" w:sz="12" w:space="2" w:color="005781"/>
        </w:pBdr>
        <w:keepNext/>
      </w:pPr>
      <w:r>
        <w:rPr>
          <w:rFonts w:ascii="Arial" w:hAnsi="Arial" w:eastAsia="Arial"/>
          <w:b/>
          <w:i w:val="0"/>
          <w:color w:val="005781"/>
          <w:sz w:val="28"/>
        </w:rPr>
        <w:t xml:space="preserve">11  </w:t>
      </w:r>
      <w:r>
        <w:rPr>
          <w:rFonts w:ascii="Arial" w:hAnsi="Arial" w:eastAsia="Arial"/>
          <w:b/>
          <w:i w:val="0"/>
          <w:color w:val="14395B"/>
          <w:sz w:val="28"/>
        </w:rPr>
        <w:t>Implementation sequence</w:t>
      </w:r>
    </w:p>
    <w:tbl>
      <w:tblPr>
        <w:tblW w:type="auto" w:w="0"/>
        <w:tblLayout w:type="fixed"/>
        <w:tblLook w:firstColumn="1" w:firstRow="1" w:lastColumn="0" w:lastRow="0" w:noHBand="0" w:noVBand="1" w:val="04A0"/>
        <w:tblCellMar>
          <w:top w:w="100" w:type="dxa"/>
          <w:left w:w="120" w:type="dxa"/>
          <w:bottom w:w="100" w:type="dxa"/>
          <w:right w:w="120" w:type="dxa"/>
        </w:tblCellMar>
      </w:tblPr>
      <w:tblGrid>
        <w:gridCol w:w="4819"/>
        <w:gridCol w:w="4819"/>
      </w:tblGrid>
      <w:tr>
        <w:tc>
          <w:tcPr>
            <w:tcW w:type="dxa" w:w="624"/>
            <w:shd w:val="clear" w:fill="005781"/>
            <w:tcBorders>
              <w:top w:val="single" w:sz="4" w:color="005781" w:space="0"/>
              <w:left w:val="single" w:sz="4" w:color="005781" w:space="0"/>
              <w:bottom w:val="single" w:sz="4" w:color="005781" w:space="0"/>
              <w:right w:val="single" w:sz="4" w:color="005781" w:space="0"/>
            </w:tcBorders>
          </w:tcPr>
          <w:p>
            <w:pPr>
              <w:spacing w:after="0"/>
              <w:jc w:val="center"/>
            </w:pPr>
            <w:r>
              <w:rPr>
                <w:rFonts w:ascii="Arial" w:hAnsi="Arial" w:eastAsia="Arial"/>
                <w:b/>
                <w:i w:val="0"/>
                <w:color w:val="FFFFFF"/>
                <w:sz w:val="22"/>
              </w:rPr>
              <w:t>1</w:t>
            </w:r>
          </w:p>
        </w:tc>
        <w:tc>
          <w:tcPr>
            <w:tcW w:type="dxa" w:w="8787"/>
            <w:shd w:val="clear" w:fill="EEF4F9"/>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i w:val="0"/>
                <w:color w:val="14395B"/>
                <w:sz w:val="19"/>
              </w:rPr>
              <w:t xml:space="preserve">Record cleaning time. </w:t>
            </w:r>
            <w:r>
              <w:rPr>
                <w:rFonts w:ascii="Arial" w:hAnsi="Arial" w:eastAsia="Arial"/>
                <w:b w:val="0"/>
                <w:i w:val="0"/>
                <w:color w:val="232A30"/>
                <w:sz w:val="19"/>
              </w:rPr>
              <w:t>Add the cleaning record to the productivity report and brief the supervisors on it. Nothing else starts before this, because nothing else can be judged without it.</w:t>
            </w:r>
          </w:p>
        </w:tc>
      </w:tr>
    </w:tbl>
    <w:p>
      <w:pPr>
        <w:spacing w:after="40"/>
      </w:pPr>
    </w:p>
    <w:tbl>
      <w:tblPr>
        <w:tblW w:type="auto" w:w="0"/>
        <w:tblLayout w:type="fixed"/>
        <w:tblLook w:firstColumn="1" w:firstRow="1" w:lastColumn="0" w:lastRow="0" w:noHBand="0" w:noVBand="1" w:val="04A0"/>
        <w:tblCellMar>
          <w:top w:w="100" w:type="dxa"/>
          <w:left w:w="120" w:type="dxa"/>
          <w:bottom w:w="100" w:type="dxa"/>
          <w:right w:w="120" w:type="dxa"/>
        </w:tblCellMar>
      </w:tblPr>
      <w:tblGrid>
        <w:gridCol w:w="4819"/>
        <w:gridCol w:w="4819"/>
      </w:tblGrid>
      <w:tr>
        <w:tc>
          <w:tcPr>
            <w:tcW w:type="dxa" w:w="624"/>
            <w:shd w:val="clear" w:fill="005781"/>
            <w:tcBorders>
              <w:top w:val="single" w:sz="4" w:color="005781" w:space="0"/>
              <w:left w:val="single" w:sz="4" w:color="005781" w:space="0"/>
              <w:bottom w:val="single" w:sz="4" w:color="005781" w:space="0"/>
              <w:right w:val="single" w:sz="4" w:color="005781" w:space="0"/>
            </w:tcBorders>
          </w:tcPr>
          <w:p>
            <w:pPr>
              <w:spacing w:after="0"/>
              <w:jc w:val="center"/>
            </w:pPr>
            <w:r>
              <w:rPr>
                <w:rFonts w:ascii="Arial" w:hAnsi="Arial" w:eastAsia="Arial"/>
                <w:b/>
                <w:i w:val="0"/>
                <w:color w:val="FFFFFF"/>
                <w:sz w:val="22"/>
              </w:rPr>
              <w:t>2</w:t>
            </w:r>
          </w:p>
        </w:tc>
        <w:tc>
          <w:tcPr>
            <w:tcW w:type="dxa" w:w="8787"/>
            <w:shd w:val="clear" w:fill="EEF4F9"/>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i w:val="0"/>
                <w:color w:val="14395B"/>
                <w:sz w:val="19"/>
              </w:rPr>
              <w:t xml:space="preserve">Establish the baseline. </w:t>
            </w:r>
            <w:r>
              <w:rPr>
                <w:rFonts w:ascii="Arial" w:hAnsi="Arial" w:eastAsia="Arial"/>
                <w:b w:val="0"/>
                <w:i w:val="0"/>
                <w:color w:val="232A30"/>
                <w:sz w:val="19"/>
              </w:rPr>
              <w:t>One full month of recorded cleaning and handover time across dry bulk and break bulk vessels, under the present method.</w:t>
            </w:r>
          </w:p>
        </w:tc>
      </w:tr>
    </w:tbl>
    <w:p>
      <w:pPr>
        <w:spacing w:after="40"/>
      </w:pPr>
    </w:p>
    <w:tbl>
      <w:tblPr>
        <w:tblW w:type="auto" w:w="0"/>
        <w:tblLayout w:type="fixed"/>
        <w:tblLook w:firstColumn="1" w:firstRow="1" w:lastColumn="0" w:lastRow="0" w:noHBand="0" w:noVBand="1" w:val="04A0"/>
        <w:tblCellMar>
          <w:top w:w="100" w:type="dxa"/>
          <w:left w:w="120" w:type="dxa"/>
          <w:bottom w:w="100" w:type="dxa"/>
          <w:right w:w="120" w:type="dxa"/>
        </w:tblCellMar>
      </w:tblPr>
      <w:tblGrid>
        <w:gridCol w:w="4819"/>
        <w:gridCol w:w="4819"/>
      </w:tblGrid>
      <w:tr>
        <w:tc>
          <w:tcPr>
            <w:tcW w:type="dxa" w:w="624"/>
            <w:shd w:val="clear" w:fill="005781"/>
            <w:tcBorders>
              <w:top w:val="single" w:sz="4" w:color="005781" w:space="0"/>
              <w:left w:val="single" w:sz="4" w:color="005781" w:space="0"/>
              <w:bottom w:val="single" w:sz="4" w:color="005781" w:space="0"/>
              <w:right w:val="single" w:sz="4" w:color="005781" w:space="0"/>
            </w:tcBorders>
          </w:tcPr>
          <w:p>
            <w:pPr>
              <w:spacing w:after="0"/>
              <w:jc w:val="center"/>
            </w:pPr>
            <w:r>
              <w:rPr>
                <w:rFonts w:ascii="Arial" w:hAnsi="Arial" w:eastAsia="Arial"/>
                <w:b/>
                <w:i w:val="0"/>
                <w:color w:val="FFFFFF"/>
                <w:sz w:val="22"/>
              </w:rPr>
              <w:t>3</w:t>
            </w:r>
          </w:p>
        </w:tc>
        <w:tc>
          <w:tcPr>
            <w:tcW w:type="dxa" w:w="8787"/>
            <w:shd w:val="clear" w:fill="EEF4F9"/>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i w:val="0"/>
                <w:color w:val="14395B"/>
                <w:sz w:val="19"/>
              </w:rPr>
              <w:t xml:space="preserve">Settle the skip provision. </w:t>
            </w:r>
            <w:r>
              <w:rPr>
                <w:rFonts w:ascii="Arial" w:hAnsi="Arial" w:eastAsia="Arial"/>
                <w:b w:val="0"/>
                <w:i w:val="0"/>
                <w:color w:val="232A30"/>
                <w:sz w:val="19"/>
              </w:rPr>
              <w:t>Capacity, buffer stock and response time agreed with OMWT. Set-down area designated at each working berth.</w:t>
            </w:r>
          </w:p>
        </w:tc>
      </w:tr>
    </w:tbl>
    <w:p>
      <w:pPr>
        <w:spacing w:after="40"/>
      </w:pPr>
    </w:p>
    <w:tbl>
      <w:tblPr>
        <w:tblW w:type="auto" w:w="0"/>
        <w:tblLayout w:type="fixed"/>
        <w:tblLook w:firstColumn="1" w:firstRow="1" w:lastColumn="0" w:lastRow="0" w:noHBand="0" w:noVBand="1" w:val="04A0"/>
        <w:tblCellMar>
          <w:top w:w="100" w:type="dxa"/>
          <w:left w:w="120" w:type="dxa"/>
          <w:bottom w:w="100" w:type="dxa"/>
          <w:right w:w="120" w:type="dxa"/>
        </w:tblCellMar>
      </w:tblPr>
      <w:tblGrid>
        <w:gridCol w:w="4819"/>
        <w:gridCol w:w="4819"/>
      </w:tblGrid>
      <w:tr>
        <w:tc>
          <w:tcPr>
            <w:tcW w:type="dxa" w:w="624"/>
            <w:shd w:val="clear" w:fill="005781"/>
            <w:tcBorders>
              <w:top w:val="single" w:sz="4" w:color="005781" w:space="0"/>
              <w:left w:val="single" w:sz="4" w:color="005781" w:space="0"/>
              <w:bottom w:val="single" w:sz="4" w:color="005781" w:space="0"/>
              <w:right w:val="single" w:sz="4" w:color="005781" w:space="0"/>
            </w:tcBorders>
          </w:tcPr>
          <w:p>
            <w:pPr>
              <w:spacing w:after="0"/>
              <w:jc w:val="center"/>
            </w:pPr>
            <w:r>
              <w:rPr>
                <w:rFonts w:ascii="Arial" w:hAnsi="Arial" w:eastAsia="Arial"/>
                <w:b/>
                <w:i w:val="0"/>
                <w:color w:val="FFFFFF"/>
                <w:sz w:val="22"/>
              </w:rPr>
              <w:t>4</w:t>
            </w:r>
          </w:p>
        </w:tc>
        <w:tc>
          <w:tcPr>
            <w:tcW w:type="dxa" w:w="8787"/>
            <w:shd w:val="clear" w:fill="EEF4F9"/>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i w:val="0"/>
                <w:color w:val="14395B"/>
                <w:sz w:val="19"/>
              </w:rPr>
              <w:t xml:space="preserve">Start cleaning in parallel. </w:t>
            </w:r>
            <w:r>
              <w:rPr>
                <w:rFonts w:ascii="Arial" w:hAnsi="Arial" w:eastAsia="Arial"/>
                <w:b w:val="0"/>
                <w:i w:val="0"/>
                <w:color w:val="232A30"/>
                <w:sz w:val="19"/>
              </w:rPr>
              <w:t>Skip boxes into the holds from the start of discharge. This part carries no new safety question and need not wait for the machine decision.</w:t>
            </w:r>
          </w:p>
        </w:tc>
      </w:tr>
    </w:tbl>
    <w:p>
      <w:pPr>
        <w:spacing w:after="40"/>
      </w:pPr>
    </w:p>
    <w:tbl>
      <w:tblPr>
        <w:tblW w:type="auto" w:w="0"/>
        <w:tblLayout w:type="fixed"/>
        <w:tblLook w:firstColumn="1" w:firstRow="1" w:lastColumn="0" w:lastRow="0" w:noHBand="0" w:noVBand="1" w:val="04A0"/>
        <w:tblCellMar>
          <w:top w:w="100" w:type="dxa"/>
          <w:left w:w="120" w:type="dxa"/>
          <w:bottom w:w="100" w:type="dxa"/>
          <w:right w:w="120" w:type="dxa"/>
        </w:tblCellMar>
      </w:tblPr>
      <w:tblGrid>
        <w:gridCol w:w="4819"/>
        <w:gridCol w:w="4819"/>
      </w:tblGrid>
      <w:tr>
        <w:tc>
          <w:tcPr>
            <w:tcW w:type="dxa" w:w="624"/>
            <w:shd w:val="clear" w:fill="005781"/>
            <w:tcBorders>
              <w:top w:val="single" w:sz="4" w:color="005781" w:space="0"/>
              <w:left w:val="single" w:sz="4" w:color="005781" w:space="0"/>
              <w:bottom w:val="single" w:sz="4" w:color="005781" w:space="0"/>
              <w:right w:val="single" w:sz="4" w:color="005781" w:space="0"/>
            </w:tcBorders>
          </w:tcPr>
          <w:p>
            <w:pPr>
              <w:spacing w:after="0"/>
              <w:jc w:val="center"/>
            </w:pPr>
            <w:r>
              <w:rPr>
                <w:rFonts w:ascii="Arial" w:hAnsi="Arial" w:eastAsia="Arial"/>
                <w:b/>
                <w:i w:val="0"/>
                <w:color w:val="FFFFFF"/>
                <w:sz w:val="22"/>
              </w:rPr>
              <w:t>5</w:t>
            </w:r>
          </w:p>
        </w:tc>
        <w:tc>
          <w:tcPr>
            <w:tcW w:type="dxa" w:w="8787"/>
            <w:shd w:val="clear" w:fill="EEF4F9"/>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i w:val="0"/>
                <w:color w:val="14395B"/>
                <w:sz w:val="19"/>
              </w:rPr>
              <w:t xml:space="preserve">Resolve the machine-in-hold question. </w:t>
            </w:r>
            <w:r>
              <w:rPr>
                <w:rFonts w:ascii="Arial" w:hAnsi="Arial" w:eastAsia="Arial"/>
                <w:b w:val="0"/>
                <w:i w:val="0"/>
                <w:color w:val="232A30"/>
                <w:sz w:val="19"/>
              </w:rPr>
              <w:t>Risk assessment and method statement, then a trial on a small number of vessels with the time recorded, and set the trigger figure from the trial rather than in advance.</w:t>
            </w:r>
          </w:p>
        </w:tc>
      </w:tr>
    </w:tbl>
    <w:p>
      <w:pPr>
        <w:spacing w:after="40"/>
      </w:pPr>
    </w:p>
    <w:tbl>
      <w:tblPr>
        <w:tblW w:type="auto" w:w="0"/>
        <w:tblLayout w:type="fixed"/>
        <w:tblLook w:firstColumn="1" w:firstRow="1" w:lastColumn="0" w:lastRow="0" w:noHBand="0" w:noVBand="1" w:val="04A0"/>
        <w:tblCellMar>
          <w:top w:w="100" w:type="dxa"/>
          <w:left w:w="120" w:type="dxa"/>
          <w:bottom w:w="100" w:type="dxa"/>
          <w:right w:w="120" w:type="dxa"/>
        </w:tblCellMar>
      </w:tblPr>
      <w:tblGrid>
        <w:gridCol w:w="4819"/>
        <w:gridCol w:w="4819"/>
      </w:tblGrid>
      <w:tr>
        <w:tc>
          <w:tcPr>
            <w:tcW w:type="dxa" w:w="624"/>
            <w:shd w:val="clear" w:fill="005781"/>
            <w:tcBorders>
              <w:top w:val="single" w:sz="4" w:color="005781" w:space="0"/>
              <w:left w:val="single" w:sz="4" w:color="005781" w:space="0"/>
              <w:bottom w:val="single" w:sz="4" w:color="005781" w:space="0"/>
              <w:right w:val="single" w:sz="4" w:color="005781" w:space="0"/>
            </w:tcBorders>
          </w:tcPr>
          <w:p>
            <w:pPr>
              <w:spacing w:after="0"/>
              <w:jc w:val="center"/>
            </w:pPr>
            <w:r>
              <w:rPr>
                <w:rFonts w:ascii="Arial" w:hAnsi="Arial" w:eastAsia="Arial"/>
                <w:b/>
                <w:i w:val="0"/>
                <w:color w:val="FFFFFF"/>
                <w:sz w:val="22"/>
              </w:rPr>
              <w:t>6</w:t>
            </w:r>
          </w:p>
        </w:tc>
        <w:tc>
          <w:tcPr>
            <w:tcW w:type="dxa" w:w="8787"/>
            <w:shd w:val="clear" w:fill="EEF4F9"/>
            <w:tcBorders>
              <w:top w:val="single" w:sz="4" w:color="CDD8E2" w:space="0"/>
              <w:left w:val="single" w:sz="4" w:color="CDD8E2" w:space="0"/>
              <w:bottom w:val="single" w:sz="4" w:color="CDD8E2" w:space="0"/>
              <w:right w:val="single" w:sz="4" w:color="CDD8E2" w:space="0"/>
            </w:tcBorders>
          </w:tcPr>
          <w:p>
            <w:pPr>
              <w:spacing w:after="0"/>
            </w:pPr>
            <w:r>
              <w:rPr>
                <w:rFonts w:ascii="Arial" w:hAnsi="Arial" w:eastAsia="Arial"/>
                <w:b/>
                <w:i w:val="0"/>
                <w:color w:val="14395B"/>
                <w:sz w:val="19"/>
              </w:rPr>
              <w:t xml:space="preserve">Issue the work instruction and review. </w:t>
            </w:r>
            <w:r>
              <w:rPr>
                <w:rFonts w:ascii="Arial" w:hAnsi="Arial" w:eastAsia="Arial"/>
                <w:b w:val="0"/>
                <w:i w:val="0"/>
                <w:color w:val="232A30"/>
                <w:sz w:val="19"/>
              </w:rPr>
              <w:t>Publish the standard, brief it, and review against the baseline at the end of the first full period.</w:t>
            </w:r>
          </w:p>
        </w:tc>
      </w:tr>
    </w:tbl>
    <w:p>
      <w:pPr>
        <w:spacing w:after="40"/>
      </w:pPr>
    </w:p>
    <w:tbl>
      <w:tblPr>
        <w:tblW w:type="auto" w:w="0"/>
        <w:tblLayout w:type="fixed"/>
        <w:tblLook w:firstColumn="1" w:firstRow="1" w:lastColumn="0" w:lastRow="0" w:noHBand="0" w:noVBand="1" w:val="04A0"/>
        <w:tblCellMar>
          <w:top w:w="200" w:type="dxa"/>
          <w:left w:w="0" w:type="dxa"/>
          <w:bottom w:w="60" w:type="dxa"/>
          <w:right w:w="160" w:type="dxa"/>
        </w:tblCellMar>
      </w:tblPr>
      <w:tblGrid>
        <w:gridCol w:w="3213"/>
        <w:gridCol w:w="3213"/>
        <w:gridCol w:w="3213"/>
      </w:tblGrid>
      <w:tr>
        <w:tc>
          <w:tcPr>
            <w:tcW w:type="dxa" w:w="3118"/>
            <w:tcBorders>
              <w:top w:val="single" w:sz="6" w:color="232A30"/>
            </w:tcBorders>
          </w:tcPr>
          <w:p>
            <w:pPr>
              <w:spacing w:before="80"/>
            </w:pPr>
            <w:r>
              <w:rPr>
                <w:rFonts w:ascii="Arial" w:hAnsi="Arial" w:eastAsia="Arial"/>
                <w:b w:val="0"/>
                <w:i w:val="0"/>
                <w:color w:val="5F7080"/>
                <w:sz w:val="17"/>
              </w:rPr>
              <w:t>Prepared by — Operations Excellence Programme</w:t>
            </w:r>
          </w:p>
        </w:tc>
        <w:tc>
          <w:tcPr>
            <w:tcW w:type="dxa" w:w="3118"/>
            <w:tcBorders>
              <w:top w:val="single" w:sz="6" w:color="232A30"/>
            </w:tcBorders>
          </w:tcPr>
          <w:p>
            <w:pPr>
              <w:spacing w:before="80"/>
            </w:pPr>
            <w:r>
              <w:rPr>
                <w:rFonts w:ascii="Arial" w:hAnsi="Arial" w:eastAsia="Arial"/>
                <w:b w:val="0"/>
                <w:i w:val="0"/>
                <w:color w:val="5F7080"/>
                <w:sz w:val="17"/>
              </w:rPr>
              <w:t>Reviewed by — Operations Management</w:t>
            </w:r>
          </w:p>
        </w:tc>
        <w:tc>
          <w:tcPr>
            <w:tcW w:type="dxa" w:w="3118"/>
            <w:tcBorders>
              <w:top w:val="single" w:sz="6" w:color="232A30"/>
            </w:tcBorders>
          </w:tcPr>
          <w:p>
            <w:pPr>
              <w:spacing w:before="80"/>
            </w:pPr>
            <w:r>
              <w:rPr>
                <w:rFonts w:ascii="Arial" w:hAnsi="Arial" w:eastAsia="Arial"/>
                <w:b w:val="0"/>
                <w:i w:val="0"/>
                <w:color w:val="5F7080"/>
                <w:sz w:val="17"/>
              </w:rPr>
              <w:t>Approved by — Date</w:t>
            </w:r>
          </w:p>
        </w:tc>
      </w:tr>
    </w:tbl>
    <w:sectPr w:rsidR="00FC693F" w:rsidRPr="0006063C" w:rsidSect="00034616">
      <w:headerReference w:type="default" r:id="rId9"/>
      <w:footerReference w:type="default" r:id="rId10"/>
      <w:pgSz w:w="11906" w:h="16838"/>
      <w:pgMar w:top="680" w:right="1134" w:bottom="794"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pBdr>
        <w:top w:val="single" w:sz="4" w:space="4" w:color="CDD8E2"/>
      </w:pBdr>
    </w:pPr>
    <w:r>
      <w:rPr>
        <w:rFonts w:ascii="Arial" w:hAnsi="Arial" w:eastAsia="Arial"/>
        <w:b w:val="0"/>
        <w:i w:val="0"/>
        <w:color w:val="5F7080"/>
        <w:sz w:val="15"/>
      </w:rPr>
      <w:t>OPS-INI-HKC-01 · Rev 0.1 · Draft for review</w:t>
    </w:r>
    <w:r>
      <w:rPr>
        <w:rFonts w:ascii="Arial" w:hAnsi="Arial" w:eastAsia="Arial"/>
        <w:b w:val="0"/>
        <w:i w:val="0"/>
        <w:color w:val="5F7080"/>
        <w:sz w:val="15"/>
      </w:rPr>
      <w:tab/>
      <w:tab/>
      <w:t>C. Steinweg Oman LLC · Port of Sohar · Operations Excellence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120"/>
    </w:pPr>
    <w:r>
      <w:drawing>
        <wp:inline xmlns:a="http://schemas.openxmlformats.org/drawingml/2006/main" xmlns:pic="http://schemas.openxmlformats.org/drawingml/2006/picture">
          <wp:extent cx="5112000" cy="1218223"/>
          <wp:docPr id="1" name="Picture 1"/>
          <wp:cNvGraphicFramePr>
            <a:graphicFrameLocks noChangeAspect="1"/>
          </wp:cNvGraphicFramePr>
          <a:graphic>
            <a:graphicData uri="http://schemas.openxmlformats.org/drawingml/2006/picture">
              <pic:pic>
                <pic:nvPicPr>
                  <pic:cNvPr id="0" name="steinweg-header.png"/>
                  <pic:cNvPicPr/>
                </pic:nvPicPr>
                <pic:blipFill>
                  <a:blip r:embed="rId1"/>
                  <a:stretch>
                    <a:fillRect/>
                  </a:stretch>
                </pic:blipFill>
                <pic:spPr>
                  <a:xfrm>
                    <a:off x="0" y="0"/>
                    <a:ext cx="5112000" cy="121822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color w:val="232A3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