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media/image1.png" ContentType="image/png"/>
  <Override PartName="/word/media/image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rPr>
          <w:b/>
          <w:bCs/>
        </w:rPr>
        <w:t xml:space="preserve">OPERATIONS · PORT OF SOHAR · INTERNAL</w:t>
      </w:r>
    </w:p>
    <w:bookmarkStart w:id="22" w:name="aluminium-calls-manpower-utilisation"/>
    <w:p>
      <w:pPr>
        <w:pStyle w:val="Heading1"/>
      </w:pPr>
      <w:r>
        <w:t xml:space="preserve">Aluminium Calls — Manpower Utilisation</w:t>
      </w:r>
    </w:p>
    <w:p>
      <w:pPr>
        <w:pStyle w:val="FirstParagraph"/>
      </w:pPr>
      <w:r>
        <w:t xml:space="preserve">The same four calls, read as manpower instead of hours. Lost time on a gang is lost</w:t>
      </w:r>
      <w:r>
        <w:t xml:space="preserve"> </w:t>
      </w:r>
      <w:r>
        <w:t xml:space="preserve">time for everyone standing in it.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Scope</w:t>
            </w:r>
          </w:p>
        </w:tc>
        <w:tc>
          <w:tcPr/>
          <w:p>
            <w:pPr>
              <w:pStyle w:val="Compact"/>
            </w:pPr>
            <w:r>
              <w:t xml:space="preserve">Observed</w:t>
            </w:r>
          </w:p>
        </w:tc>
        <w:tc>
          <w:tcPr/>
          <w:p>
            <w:pPr>
              <w:pStyle w:val="Compact"/>
            </w:pPr>
            <w:r>
              <w:t xml:space="preserve">Crew per shift</w:t>
            </w:r>
          </w:p>
        </w:tc>
        <w:tc>
          <w:tcPr/>
          <w:p>
            <w:pPr>
              <w:pStyle w:val="Compact"/>
            </w:pPr>
            <w:r>
              <w:t xml:space="preserve">Period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 vessels</w:t>
            </w:r>
          </w:p>
        </w:tc>
        <w:tc>
          <w:tcPr/>
          <w:p>
            <w:pPr>
              <w:pStyle w:val="Compact"/>
            </w:pPr>
            <w:r>
              <w:t xml:space="preserve">123 shifts</w:t>
            </w:r>
          </w:p>
        </w:tc>
        <w:tc>
          <w:tcPr/>
          <w:p>
            <w:pPr>
              <w:pStyle w:val="Compact"/>
            </w:pPr>
            <w:r>
              <w:t xml:space="preserve">34.9</w:t>
            </w:r>
          </w:p>
        </w:tc>
        <w:tc>
          <w:tcPr/>
          <w:p>
            <w:pPr>
              <w:pStyle w:val="Compact"/>
            </w:pPr>
            <w:r>
              <w:t xml:space="preserve">Apr–Jul 2026</w:t>
            </w:r>
          </w:p>
        </w:tc>
      </w:tr>
    </w:tbl>
    <w:bookmarkStart w:id="16" w:name="what-the-calls-cost-in-manpower"/>
    <w:p>
      <w:pPr>
        <w:pStyle w:val="Heading2"/>
      </w:pPr>
      <w:r>
        <w:t xml:space="preserve">1. What the calls cost in manpower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Man-hours assigned</w:t>
            </w:r>
          </w:p>
        </w:tc>
        <w:tc>
          <w:tcPr/>
          <w:p>
            <w:pPr>
              <w:pStyle w:val="Compact"/>
            </w:pPr>
            <w:r>
              <w:t xml:space="preserve">Man-hours lost</w:t>
            </w:r>
          </w:p>
        </w:tc>
        <w:tc>
          <w:tcPr/>
          <w:p>
            <w:pPr>
              <w:pStyle w:val="Compact"/>
            </w:pPr>
            <w:r>
              <w:t xml:space="preserve">Per man, per shift</w:t>
            </w:r>
          </w:p>
        </w:tc>
        <w:tc>
          <w:tcPr/>
          <w:p>
            <w:pPr>
              <w:pStyle w:val="Compact"/>
            </w:pPr>
            <w:r>
              <w:t xml:space="preserve">Of all manpower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30,082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5,299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1.2 h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17.6%</w:t>
            </w:r>
          </w:p>
        </w:tc>
      </w:tr>
    </w:tbl>
    <w:p>
      <w:pPr>
        <w:pStyle w:val="BodyText"/>
      </w:pPr>
      <w:r>
        <w:rPr>
          <w:b/>
          <w:bCs/>
        </w:rPr>
        <w:t xml:space="preserve">Read the third figure first.</w:t>
      </w:r>
      <w:r>
        <w:t xml:space="preserve"> </w:t>
      </w:r>
      <w:r>
        <w:t xml:space="preserve">On average</w:t>
      </w:r>
      <w:r>
        <w:t xml:space="preserve"> </w:t>
      </w:r>
      <w:r>
        <w:rPr>
          <w:b/>
          <w:bCs/>
        </w:rPr>
        <w:t xml:space="preserve">every man on board stood idle for 1.2 hours</w:t>
      </w:r>
      <w:r>
        <w:rPr>
          <w:b/>
          <w:bCs/>
        </w:rPr>
        <w:t xml:space="preserve"> </w:t>
      </w:r>
      <w:r>
        <w:rPr>
          <w:b/>
          <w:bCs/>
        </w:rPr>
        <w:t xml:space="preserve">of a 7-hour shift</w:t>
      </w:r>
      <w:r>
        <w:t xml:space="preserve"> </w:t>
      </w:r>
      <w:r>
        <w:t xml:space="preserve">— roughly a fifth of his working time. On MV Happy Founder it was</w:t>
      </w:r>
      <w:r>
        <w:t xml:space="preserve"> </w:t>
      </w:r>
      <w:r>
        <w:t xml:space="preserve">nearly two hours per man, per shift.</w:t>
      </w:r>
    </w:p>
    <w:p>
      <w:pPr>
        <w:pStyle w:val="BodyText"/>
      </w:pPr>
      <w:r>
        <w:t xml:space="preserve">Added together that is 5,299 man-hours, or what</w:t>
      </w:r>
      <w:r>
        <w:t xml:space="preserve"> </w:t>
      </w:r>
      <w:r>
        <w:rPr>
          <w:b/>
          <w:bCs/>
        </w:rPr>
        <w:t xml:space="preserve">757 full shifts</w:t>
      </w:r>
      <w:r>
        <w:t xml:space="preserve"> </w:t>
      </w:r>
      <w:r>
        <w:t xml:space="preserve">would cost. That total</w:t>
      </w:r>
      <w:r>
        <w:t xml:space="preserve"> </w:t>
      </w:r>
      <w:r>
        <w:t xml:space="preserve">is an accounting unit, not an event: nobody stood idle for a whole shift. The loss is</w:t>
      </w:r>
      <w:r>
        <w:t xml:space="preserve"> </w:t>
      </w:r>
      <w:r>
        <w:t xml:space="preserve">spread thinly across 123 shifts and some 4,300 shift assignments. It is the same loss the time review reports</w:t>
      </w:r>
      <w:r>
        <w:t xml:space="preserve"> </w:t>
      </w:r>
      <w:r>
        <w:t xml:space="preserve">as 290 hours, counted in people rather than in gang time.</w:t>
      </w:r>
    </w:p>
    <w:bookmarkEnd w:id="16"/>
    <w:bookmarkStart w:id="17" w:name="per-vessel"/>
    <w:p>
      <w:pPr>
        <w:pStyle w:val="Heading2"/>
      </w:pPr>
      <w:r>
        <w:t xml:space="preserve">2. Per vessel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131"/>
        <w:gridCol w:w="1131"/>
        <w:gridCol w:w="1131"/>
        <w:gridCol w:w="1131"/>
        <w:gridCol w:w="1131"/>
        <w:gridCol w:w="1131"/>
        <w:gridCol w:w="1131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Vessel</w:t>
            </w:r>
          </w:p>
        </w:tc>
        <w:tc>
          <w:tcPr/>
          <w:p>
            <w:pPr>
              <w:pStyle w:val="Compact"/>
            </w:pPr>
            <w:r>
              <w:t xml:space="preserve">Shifts</w:t>
            </w:r>
          </w:p>
        </w:tc>
        <w:tc>
          <w:tcPr/>
          <w:p>
            <w:pPr>
              <w:pStyle w:val="Compact"/>
            </w:pPr>
            <w:r>
              <w:t xml:space="preserve">Crew / shift</w:t>
            </w:r>
          </w:p>
        </w:tc>
        <w:tc>
          <w:tcPr/>
          <w:p>
            <w:pPr>
              <w:pStyle w:val="Compact"/>
            </w:pPr>
            <w:r>
              <w:t xml:space="preserve">Man-hours</w:t>
            </w:r>
          </w:p>
        </w:tc>
        <w:tc>
          <w:tcPr/>
          <w:p>
            <w:pPr>
              <w:pStyle w:val="Compact"/>
            </w:pPr>
            <w:r>
              <w:t xml:space="preserve">Time lost</w:t>
            </w:r>
          </w:p>
        </w:tc>
        <w:tc>
          <w:tcPr/>
          <w:p>
            <w:pPr>
              <w:pStyle w:val="Compact"/>
            </w:pPr>
            <w:r>
              <w:t xml:space="preserve">Man-hours lost</w:t>
            </w:r>
          </w:p>
        </w:tc>
        <w:tc>
          <w:tcPr/>
          <w:p>
            <w:pPr>
              <w:pStyle w:val="Compact"/>
            </w:pPr>
            <w:r>
              <w:t xml:space="preserve">Per man, per shift</w:t>
            </w:r>
          </w:p>
        </w:tc>
      </w:tr>
      <w:tr>
        <w:tc>
          <w:tcPr/>
          <w:p>
            <w:pPr>
              <w:pStyle w:val="Compact"/>
            </w:pPr>
            <w:r>
              <w:t xml:space="preserve">MV Lady Sacha</w:t>
            </w:r>
          </w:p>
        </w:tc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38.5</w:t>
            </w:r>
          </w:p>
        </w:tc>
        <w:tc>
          <w:tcPr/>
          <w:p>
            <w:pPr>
              <w:pStyle w:val="Compact"/>
            </w:pPr>
            <w:r>
              <w:t xml:space="preserve">7,284</w:t>
            </w:r>
          </w:p>
        </w:tc>
        <w:tc>
          <w:tcPr/>
          <w:p>
            <w:pPr>
              <w:pStyle w:val="Compact"/>
            </w:pPr>
            <w:r>
              <w:t xml:space="preserve">11.1%</w:t>
            </w:r>
          </w:p>
        </w:tc>
        <w:tc>
          <w:tcPr/>
          <w:p>
            <w:pPr>
              <w:pStyle w:val="Compact"/>
            </w:pPr>
            <w:r>
              <w:t xml:space="preserve">811</w:t>
            </w:r>
          </w:p>
        </w:tc>
        <w:tc>
          <w:tcPr/>
          <w:p>
            <w:pPr>
              <w:pStyle w:val="Compact"/>
            </w:pPr>
            <w:r>
              <w:t xml:space="preserve">0.8 h</w:t>
            </w:r>
          </w:p>
        </w:tc>
      </w:tr>
      <w:tr>
        <w:tc>
          <w:tcPr/>
          <w:p>
            <w:pPr>
              <w:pStyle w:val="Compact"/>
            </w:pPr>
            <w:r>
              <w:t xml:space="preserve">MV Walrus</w:t>
            </w:r>
          </w:p>
        </w:tc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34.4</w:t>
            </w:r>
          </w:p>
        </w:tc>
        <w:tc>
          <w:tcPr/>
          <w:p>
            <w:pPr>
              <w:pStyle w:val="Compact"/>
            </w:pPr>
            <w:r>
              <w:t xml:space="preserve">7,223</w:t>
            </w:r>
          </w:p>
        </w:tc>
        <w:tc>
          <w:tcPr/>
          <w:p>
            <w:pPr>
              <w:pStyle w:val="Compact"/>
            </w:pPr>
            <w:r>
              <w:t xml:space="preserve">13.1%</w:t>
            </w:r>
          </w:p>
        </w:tc>
        <w:tc>
          <w:tcPr/>
          <w:p>
            <w:pPr>
              <w:pStyle w:val="Compact"/>
            </w:pPr>
            <w:r>
              <w:t xml:space="preserve">948</w:t>
            </w:r>
          </w:p>
        </w:tc>
        <w:tc>
          <w:tcPr/>
          <w:p>
            <w:pPr>
              <w:pStyle w:val="Compact"/>
            </w:pPr>
            <w:r>
              <w:t xml:space="preserve">0.9 h</w:t>
            </w:r>
          </w:p>
        </w:tc>
      </w:tr>
      <w:tr>
        <w:tc>
          <w:tcPr/>
          <w:p>
            <w:pPr>
              <w:pStyle w:val="Compact"/>
            </w:pPr>
            <w:r>
              <w:t xml:space="preserve">MV True Faith</w:t>
            </w:r>
          </w:p>
        </w:tc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34.4</w:t>
            </w:r>
          </w:p>
        </w:tc>
        <w:tc>
          <w:tcPr/>
          <w:p>
            <w:pPr>
              <w:pStyle w:val="Compact"/>
            </w:pPr>
            <w:r>
              <w:t xml:space="preserve">7,952</w:t>
            </w:r>
          </w:p>
        </w:tc>
        <w:tc>
          <w:tcPr/>
          <w:p>
            <w:pPr>
              <w:pStyle w:val="Compact"/>
            </w:pPr>
            <w:r>
              <w:t xml:space="preserve">19.8%</w:t>
            </w:r>
          </w:p>
        </w:tc>
        <w:tc>
          <w:tcPr/>
          <w:p>
            <w:pPr>
              <w:pStyle w:val="Compact"/>
            </w:pPr>
            <w:r>
              <w:t xml:space="preserve">1,574</w:t>
            </w:r>
          </w:p>
        </w:tc>
        <w:tc>
          <w:tcPr/>
          <w:p>
            <w:pPr>
              <w:pStyle w:val="Compact"/>
            </w:pPr>
            <w:r>
              <w:t xml:space="preserve">1.4 h</w:t>
            </w:r>
          </w:p>
        </w:tc>
      </w:tr>
      <w:tr>
        <w:tc>
          <w:tcPr/>
          <w:p>
            <w:pPr>
              <w:pStyle w:val="Compact"/>
            </w:pPr>
            <w:r>
              <w:t xml:space="preserve">MV Happy Founder</w:t>
            </w:r>
          </w:p>
        </w:tc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33.0</w:t>
            </w:r>
          </w:p>
        </w:tc>
        <w:tc>
          <w:tcPr/>
          <w:p>
            <w:pPr>
              <w:pStyle w:val="Compact"/>
            </w:pPr>
            <w:r>
              <w:t xml:space="preserve">7,623</w:t>
            </w:r>
          </w:p>
        </w:tc>
        <w:tc>
          <w:tcPr/>
          <w:p>
            <w:pPr>
              <w:pStyle w:val="Compact"/>
            </w:pPr>
            <w:r>
              <w:t xml:space="preserve">25.8%</w:t>
            </w:r>
          </w:p>
        </w:tc>
        <w:tc>
          <w:tcPr/>
          <w:p>
            <w:pPr>
              <w:pStyle w:val="Compact"/>
            </w:pPr>
            <w:r>
              <w:t xml:space="preserve">1,965</w:t>
            </w:r>
          </w:p>
        </w:tc>
        <w:tc>
          <w:tcPr/>
          <w:p>
            <w:pPr>
              <w:pStyle w:val="Compact"/>
            </w:pPr>
            <w:r>
              <w:t xml:space="preserve">1.8 h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Total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123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34.9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30,082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17.6%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5,299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1.2 h</w:t>
            </w:r>
          </w:p>
        </w:tc>
      </w:tr>
    </w:tbl>
    <w:p>
      <w:pPr>
        <w:pStyle w:val="BodyText"/>
      </w:pPr>
      <w:r>
        <w:t xml:space="preserve">The pattern follows the time review: the call that lost the most hours also kept the most</w:t>
      </w:r>
      <w:r>
        <w:t xml:space="preserve"> </w:t>
      </w:r>
      <w:r>
        <w:t xml:space="preserve">people waiting.</w:t>
      </w:r>
    </w:p>
    <w:bookmarkEnd w:id="17"/>
    <w:bookmarkStart w:id="18" w:name="how-this-is-calculated"/>
    <w:p>
      <w:pPr>
        <w:pStyle w:val="Heading2"/>
      </w:pPr>
      <w:r>
        <w:t xml:space="preserve">3. How this is calculated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Step</w:t>
            </w:r>
          </w:p>
        </w:tc>
        <w:tc>
          <w:tcPr/>
          <w:p>
            <w:pPr>
              <w:pStyle w:val="Compact"/>
            </w:pPr>
            <w:r>
              <w:t xml:space="preserve">Source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Count the crew on the vessel</w:t>
            </w:r>
            <w:r>
              <w:t xml:space="preserve"> </w:t>
            </w:r>
            <w:r>
              <w:t xml:space="preserve">— every person listed against that vessel in the daily plan, excluding the separate</w:t>
            </w:r>
            <w:r>
              <w:t xml:space="preserve"> </w:t>
            </w:r>
            <w:r>
              <w:t xml:space="preserve">“Store / Shifting”</w:t>
            </w:r>
            <w:r>
              <w:t xml:space="preserve"> </w:t>
            </w:r>
            <w:r>
              <w:t xml:space="preserve">section. Averaged over the call, this gives the</w:t>
            </w:r>
            <w:r>
              <w:t xml:space="preserve"> </w:t>
            </w:r>
            <w:r>
              <w:rPr>
                <w:i/>
                <w:iCs/>
              </w:rPr>
              <w:t xml:space="preserve">crew per shift</w:t>
            </w:r>
            <w:r>
              <w:t xml:space="preserve"> </w:t>
            </w:r>
            <w:r>
              <w:t xml:space="preserve">used throughout this report.</w:t>
            </w:r>
          </w:p>
        </w:tc>
        <w:tc>
          <w:tcPr/>
          <w:p>
            <w:pPr>
              <w:pStyle w:val="Compact"/>
            </w:pPr>
            <w:r>
              <w:t xml:space="preserve">Daily planning sheets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Multiply by 7 hours and by the number of shifts worked</w:t>
            </w:r>
            <w:r>
              <w:t xml:space="preserve"> </w:t>
            </w:r>
            <w:r>
              <w:t xml:space="preserve">— an 8-hour shift less one hour of break; three shifts cover the day.</w:t>
            </w:r>
          </w:p>
        </w:tc>
        <w:tc>
          <w:tcPr/>
          <w:p>
            <w:pPr>
              <w:pStyle w:val="Compact"/>
            </w:pPr>
            <w:r>
              <w:t xml:space="preserve">Productivity reports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Apply the share of time lost</w:t>
            </w:r>
            <w:r>
              <w:t xml:space="preserve"> </w:t>
            </w:r>
            <w:r>
              <w:t xml:space="preserve">for that vessel to those man-hours.</w:t>
            </w:r>
          </w:p>
        </w:tc>
        <w:tc>
          <w:tcPr/>
          <w:p>
            <w:pPr>
              <w:pStyle w:val="Compact"/>
            </w:pPr>
            <w:r>
              <w:t xml:space="preserve">Productivity reports</w:t>
            </w:r>
          </w:p>
        </w:tc>
      </w:tr>
    </w:tbl>
    <w:bookmarkEnd w:id="18"/>
    <w:bookmarkStart w:id="19" w:name="what-this-figure-is-and-what-it-is-not"/>
    <w:p>
      <w:pPr>
        <w:pStyle w:val="Heading2"/>
      </w:pPr>
      <w:r>
        <w:t xml:space="preserve">4. What this figure is, and what it is not</w:t>
      </w:r>
    </w:p>
    <w:p>
      <w:pPr>
        <w:pStyle w:val="FirstParagraph"/>
      </w:pPr>
      <w:r>
        <w:rPr>
          <w:b/>
          <w:bCs/>
        </w:rPr>
        <w:t xml:space="preserve">It is an upper bound, not a measurement.</w:t>
      </w:r>
      <w:r>
        <w:t xml:space="preserve"> </w:t>
      </w:r>
      <w:r>
        <w:t xml:space="preserve">The calculation assumes that when the gang</w:t>
      </w:r>
      <w:r>
        <w:t xml:space="preserve"> </w:t>
      </w:r>
      <w:r>
        <w:t xml:space="preserve">stands still, the crew assigned to that vessel stands still with it. For the men on the</w:t>
      </w:r>
      <w:r>
        <w:t xml:space="preserve"> </w:t>
      </w:r>
      <w:r>
        <w:t xml:space="preserve">hook — crane driver, signalman, hold dockers — that holds. A forklift on the quay may</w:t>
      </w:r>
      <w:r>
        <w:t xml:space="preserve"> </w:t>
      </w:r>
      <w:r>
        <w:t xml:space="preserve">well carry on with something else. Read the figure as</w:t>
      </w:r>
      <w:r>
        <w:t xml:space="preserve"> </w:t>
      </w:r>
      <w:r>
        <w:rPr>
          <w:i/>
          <w:iCs/>
        </w:rPr>
        <w:t xml:space="preserve">up to</w:t>
      </w:r>
      <w:r>
        <w:t xml:space="preserve"> </w:t>
      </w:r>
      <w:r>
        <w:t xml:space="preserve">5,299 man-hours — and read the per-man figure as an average</w:t>
      </w:r>
      <w:r>
        <w:t xml:space="preserve"> </w:t>
      </w:r>
      <w:r>
        <w:t xml:space="preserve">across the whole crew, not as a queue of idle men.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Every shift is counted as 7 hours.</w:t>
      </w:r>
      <w:r>
        <w:t xml:space="preserve"> </w:t>
      </w:r>
      <w:r>
        <w:t xml:space="preserve">A fifth of the shifts ran 12 hours as overtime. Counting those at 7 hours as well keeps the arithmetic simple and understates</w:t>
      </w:r>
      <w:r>
        <w:t xml:space="preserve"> </w:t>
      </w:r>
      <w:r>
        <w:t xml:space="preserve">the total by roughly 11%. The real figure is higher, not lower.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These are plans, not attendance.</w:t>
      </w:r>
      <w:r>
        <w:t xml:space="preserve"> </w:t>
      </w:r>
      <w:r>
        <w:t xml:space="preserve">The daily plan records who was rostered, not who</w:t>
      </w:r>
      <w:r>
        <w:t xml:space="preserve"> </w:t>
      </w:r>
      <w:r>
        <w:t xml:space="preserve">turned up. Replacements and reassignments are not reflected.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Own and hired labour are counted the same.</w:t>
      </w:r>
      <w:r>
        <w:t xml:space="preserve"> </w:t>
      </w:r>
      <w:r>
        <w:t xml:space="preserve">Roughly a third of the crew comes from</w:t>
      </w:r>
      <w:r>
        <w:t xml:space="preserve"> </w:t>
      </w:r>
      <w:r>
        <w:t xml:space="preserve">contractors. For a cost figure they would need separating; for a manpower figure they do not.</w:t>
      </w:r>
    </w:p>
    <w:bookmarkEnd w:id="19"/>
    <w:bookmarkStart w:id="20" w:name="why-not-fte"/>
    <w:p>
      <w:pPr>
        <w:pStyle w:val="Heading2"/>
      </w:pPr>
      <w:r>
        <w:t xml:space="preserve">5. Why not FTE</w:t>
      </w:r>
    </w:p>
    <w:p>
      <w:pPr>
        <w:pStyle w:val="FirstParagraph"/>
      </w:pPr>
      <w:r>
        <w:t xml:space="preserve">An FTE is a full-time position over a year. These four calls span three months, so</w:t>
      </w:r>
      <w:r>
        <w:t xml:space="preserve"> </w:t>
      </w:r>
      <w:r>
        <w:t xml:space="preserve">expressing the loss as a fraction of an FTE invites the wrong conclusion — that two or</w:t>
      </w:r>
      <w:r>
        <w:t xml:space="preserve"> </w:t>
      </w:r>
      <w:r>
        <w:t xml:space="preserve">three people are permanently idle. They are not. The loss is concentrated in specific</w:t>
      </w:r>
      <w:r>
        <w:t xml:space="preserve"> </w:t>
      </w:r>
      <w:r>
        <w:t xml:space="preserve">shifts on specific calls.</w:t>
      </w:r>
    </w:p>
    <w:p>
      <w:pPr>
        <w:pStyle w:val="BodyText"/>
      </w:pPr>
      <w:r>
        <w:rPr>
          <w:b/>
          <w:bCs/>
        </w:rPr>
        <w:t xml:space="preserve">757 shifts</w:t>
      </w:r>
      <w:r>
        <w:t xml:space="preserve"> </w:t>
      </w:r>
      <w:r>
        <w:t xml:space="preserve">says the same thing without that risk, and it is a unit the operation</w:t>
      </w:r>
      <w:r>
        <w:t xml:space="preserve"> </w:t>
      </w:r>
      <w:r>
        <w:t xml:space="preserve">already works in. Should an FTE figure be required for budgeting, it needs the annual</w:t>
      </w:r>
      <w:r>
        <w:t xml:space="preserve"> </w:t>
      </w:r>
      <w:r>
        <w:t xml:space="preserve">hours Steinweg applies per position; that number is not assumed here.</w:t>
      </w:r>
    </w:p>
    <w:bookmarkEnd w:id="20"/>
    <w:bookmarkStart w:id="21" w:name="where-this-goes-next"/>
    <w:p>
      <w:pPr>
        <w:pStyle w:val="Heading2"/>
      </w:pPr>
      <w:r>
        <w:t xml:space="preserve">6. Where this goes next</w:t>
      </w:r>
    </w:p>
    <w:p>
      <w:pPr>
        <w:pStyle w:val="FirstParagraph"/>
      </w:pPr>
      <w:r>
        <w:t xml:space="preserve">The weakness above — that we assume who stood still rather than observe it — is being</w:t>
      </w:r>
      <w:r>
        <w:t xml:space="preserve"> </w:t>
      </w:r>
      <w:r>
        <w:t xml:space="preserve">closed. The gang time observation study now running records, every five minutes, whether</w:t>
      </w:r>
      <w:r>
        <w:t xml:space="preserve"> </w:t>
      </w:r>
      <w:r>
        <w:t xml:space="preserve">each individual position is working or standing still. Once twenty shifts are in, this</w:t>
      </w:r>
      <w:r>
        <w:t xml:space="preserve"> </w:t>
      </w:r>
      <w:r>
        <w:t xml:space="preserve">conversion can be replaced by a measured ratio: not</w:t>
      </w:r>
      <w:r>
        <w:t xml:space="preserve"> </w:t>
      </w:r>
      <w:r>
        <w:rPr>
          <w:i/>
          <w:iCs/>
        </w:rPr>
        <w:t xml:space="preserve">how many people were assigned</w:t>
      </w:r>
      <w:r>
        <w:t xml:space="preserve">, but</w:t>
      </w:r>
      <w:r>
        <w:t xml:space="preserve"> </w:t>
      </w:r>
      <w:r>
        <w:rPr>
          <w:i/>
          <w:iCs/>
        </w:rPr>
        <w:t xml:space="preserve">how many were actually idle</w:t>
      </w:r>
      <w:r>
        <w:t xml:space="preserve">. The daily plans remain the other half of that picture:</w:t>
      </w:r>
      <w:r>
        <w:t xml:space="preserve"> </w:t>
      </w:r>
      <w:r>
        <w:t xml:space="preserve">they supply the denominator, which the observation study does not capture alone.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i/>
          <w:iCs/>
        </w:rPr>
        <w:t xml:space="preserve">Sources: daily planning sheets and the productivity reports per vessel,</w:t>
      </w:r>
      <w:r>
        <w:rPr>
          <w:i/>
          <w:iCs/>
        </w:rPr>
        <w:t xml:space="preserve"> </w:t>
      </w:r>
      <w:r>
        <w:rPr>
          <w:i/>
          <w:iCs/>
        </w:rPr>
        <w:t xml:space="preserve">16 April – 13 July 2026. Companion document: Aluminium Export — Time Utilisation Review (OPS-RPT-ALU-01),</w:t>
      </w:r>
      <w:r>
        <w:rPr>
          <w:i/>
          <w:iCs/>
        </w:rPr>
        <w:t xml:space="preserve"> </w:t>
      </w:r>
      <w:r>
        <w:rPr>
          <w:i/>
          <w:iCs/>
        </w:rPr>
        <w:t xml:space="preserve">which reports the same loss as gang hours.</w:t>
      </w:r>
    </w:p>
    <w:p>
      <w:pPr>
        <w:pStyle w:val="BodyText"/>
      </w:pPr>
      <w:r>
        <w:rPr>
          <w:i/>
          <w:iCs/>
        </w:rPr>
        <w:t xml:space="preserve">OPS-RPT-ALU-02 · Rev 1.1 · Internal</w:t>
      </w:r>
    </w:p>
    <w:bookmarkEnd w:id="21"/>
    <w:bookmarkEnd w:id="22"/>
    <w:sectPr w:rsidR="002E111F" w:rsidRPr="002E111F" w:rsidSect="001D2406">
      <w:headerReference r:id="rId6" w:type="default"/>
      <w:footerReference r:id="rId7" w:type="default"/>
      <w:pgSz w:h="16838" w:w="11906"/>
      <w:pgMar w:bottom="1440" w:footer="708" w:gutter="0" w:header="708" w:left="851" w:right="707" w:top="2552"/>
      <w:cols w:space="708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B7DB3" w:rsidRDefault="00AB2077">
    <w:pPr>
      <w:pStyle w:val="Footer"/>
    </w:pPr>
    <w:r>
      <w:rPr>
        <w:noProof/>
      </w:rPr>
      <w:drawing>
        <wp:anchor distT="0" distB="0" distL="114300" distR="114300" simplePos="0" relativeHeight="251661312" behindDoc="0" locked="0" layoutInCell="1" allowOverlap="1">
          <wp:simplePos x="0" y="0"/>
          <wp:positionH relativeFrom="column">
            <wp:posOffset>-517525</wp:posOffset>
          </wp:positionH>
          <wp:positionV relativeFrom="paragraph">
            <wp:posOffset>-475615</wp:posOffset>
          </wp:positionV>
          <wp:extent cx="7516800" cy="1072406"/>
          <wp:effectExtent l="0" t="0" r="0" b="0"/>
          <wp:wrapNone/>
          <wp:docPr id="52" name="Picture 5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EnglishFooter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16800" cy="107240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B7DB3" w:rsidRDefault="00AB2077">
    <w:pPr>
      <w:pStyle w:val="Header"/>
    </w:pPr>
    <w:r>
      <w:rPr>
        <w:noProof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page">
            <wp:posOffset>19050</wp:posOffset>
          </wp:positionH>
          <wp:positionV relativeFrom="paragraph">
            <wp:posOffset>-430530</wp:posOffset>
          </wp:positionV>
          <wp:extent cx="7516800" cy="1790964"/>
          <wp:effectExtent l="0" t="0" r="8255" b="0"/>
          <wp:wrapNone/>
          <wp:docPr id="51" name="Picture 5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EnglishHeader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16800" cy="179096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spelling="clean"/>
  <w:stylePaneFormatFilter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al="3F01" w:visibleStyles="0"/>
  <w:doNotTrackMoves/>
  <w:defaultTabStop w:val="720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hdrShapeDefaults>
    <o:shapedefaults spidmax="2050" v:ext="edit"/>
  </w:hdrShapeDefaults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7DB3"/>
    <w:rsid w:val="00153028"/>
    <w:rsid w:val="001D2406"/>
    <w:rsid w:val="002E111F"/>
    <w:rsid w:val="003B7DB3"/>
    <w:rsid w:val="00AB2077"/>
  </w:rsids>
  <w:themeFontLang w:bidi="ar-SA" w:val="nl-NL"/>
  <w:clrSchemeMapping w:accent1="accent1" w:accent2="accent2" w:accent3="accent3" w:accent4="accent4" w:accent5="accent5" w:accent6="accent6" w:bg1="light1" w:bg2="light2" w:followedHyperlink="followedHyperlink" w:hyperlink="hyperlink" w:t1="dark1" w:t2="dark2"/>
  <w:doNotIncludeSubdocsInStats/>
  <w:shapeDefaults>
    <o:shapedefaults spidmax="2050" v:ext="edit"/>
    <o:shapelayout v:ext="edit">
      <o:idmap data="2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cs="Times New Roman" w:eastAsia="Times New Roman" w:hAnsi="Times New Roman"/>
        <w:lang w:bidi="ar-SA" w:eastAsia="nl-NL" w:val="nl-NL"/>
      </w:rPr>
    </w:rPrDefault>
    <w:pPrDefault/>
  </w:docDefaults>
  <w:latentStyles w:count="371" w:defLockedState="0" w:defQFormat="0" w:defSemiHidden="0" w:defUIPriority="0" w:defUnhideWhenUsed="0">
    <w:lsdException w:name="Normal" w:qFormat="1"/>
    <w:lsdException w:name="heading 1" w:qFormat="1"/>
    <w:lsdException w:name="heading 2" w:qFormat="1" w:semiHidden="1" w:unhideWhenUsed="1"/>
    <w:lsdException w:name="heading 3" w:qFormat="1" w:semiHidden="1" w:unhideWhenUsed="1"/>
    <w:lsdException w:name="heading 4" w:qFormat="1" w:semiHidden="1" w:unhideWhenUsed="1"/>
    <w:lsdException w:name="heading 5" w:qFormat="1" w:semiHidden="1" w:unhideWhenUsed="1"/>
    <w:lsdException w:name="heading 6" w:qFormat="1" w:semiHidden="1" w:unhideWhenUsed="1"/>
    <w:lsdException w:name="heading 7" w:qFormat="1" w:semiHidden="1" w:unhideWhenUsed="1"/>
    <w:lsdException w:name="heading 8" w:qFormat="1" w:semiHidden="1" w:unhideWhenUsed="1"/>
    <w:lsdException w:name="heading 9" w:qFormat="1" w:semiHidden="1" w:unhideWhenUsed="1"/>
    <w:lsdException w:name="caption" w:qFormat="1" w:semiHidden="1" w:unhideWhenUsed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qFormat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 w:uiPriority="34"/>
    <w:lsdException w:name="Quote" w:qFormat="1" w:uiPriority="29"/>
    <w:lsdException w:name="Intense Quote" w:qFormat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 w:uiPriority="19"/>
    <w:lsdException w:name="Intense Emphasis" w:qFormat="1" w:uiPriority="21"/>
    <w:lsdException w:name="Subtle Reference" w:qFormat="1" w:uiPriority="31"/>
    <w:lsdException w:name="Intense Reference" w:qFormat="1" w:uiPriority="32"/>
    <w:lsdException w:name="Book Title" w:qFormat="1" w:uiPriority="33"/>
    <w:lsdException w:name="Bibliography" w:semiHidden="1" w:uiPriority="37" w:unhideWhenUsed="1"/>
    <w:lsdException w:name="TOC Heading" w:qFormat="1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default="1" w:styleId="Normal" w:type="paragraph">
    <w:name w:val="Normal"/>
    <w:qFormat/>
    <w:rPr>
      <w:sz w:val="24"/>
      <w:szCs w:val="24"/>
      <w:lang w:eastAsia="en-US" w:val="en-US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Header" w:type="paragraph">
    <w:name w:val="header"/>
    <w:basedOn w:val="Normal"/>
    <w:link w:val="HeaderChar"/>
    <w:rsid w:val="003B7DB3"/>
    <w:pPr>
      <w:tabs>
        <w:tab w:pos="4513" w:val="center"/>
        <w:tab w:pos="9026" w:val="right"/>
      </w:tabs>
    </w:pPr>
  </w:style>
  <w:style w:customStyle="1" w:styleId="HeaderChar" w:type="character">
    <w:name w:val="Header Char"/>
    <w:basedOn w:val="DefaultParagraphFont"/>
    <w:link w:val="Header"/>
    <w:rsid w:val="003B7DB3"/>
    <w:rPr>
      <w:sz w:val="24"/>
      <w:szCs w:val="24"/>
      <w:lang w:eastAsia="en-US" w:val="en-US"/>
    </w:rPr>
  </w:style>
  <w:style w:styleId="Footer" w:type="paragraph">
    <w:name w:val="footer"/>
    <w:basedOn w:val="Normal"/>
    <w:link w:val="FooterChar"/>
    <w:rsid w:val="003B7DB3"/>
    <w:pPr>
      <w:tabs>
        <w:tab w:pos="4513" w:val="center"/>
        <w:tab w:pos="9026" w:val="right"/>
      </w:tabs>
    </w:pPr>
  </w:style>
  <w:style w:customStyle="1" w:styleId="FooterChar" w:type="character">
    <w:name w:val="Footer Char"/>
    <w:basedOn w:val="DefaultParagraphFont"/>
    <w:link w:val="Footer"/>
    <w:rsid w:val="003B7DB3"/>
    <w:rPr>
      <w:sz w:val="24"/>
      <w:szCs w:val="24"/>
      <w:lang w:eastAsia="en-US" w:val="en-US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5" Target="numbering.xml" /><Relationship Type="http://schemas.openxmlformats.org/officeDocument/2006/relationships/styles" Id="rId14" Target="styles.xml" /><Relationship Type="http://schemas.openxmlformats.org/officeDocument/2006/relationships/settings" Id="rId13" Target="settings.xml" /><Relationship Type="http://schemas.openxmlformats.org/officeDocument/2006/relationships/webSettings" Id="rId12" Target="webSettings.xml" /><Relationship Type="http://schemas.openxmlformats.org/officeDocument/2006/relationships/fontTable" Id="rId11" Target="fontTable.xml" /><Relationship Type="http://schemas.openxmlformats.org/officeDocument/2006/relationships/theme" Id="rId10" Target="theme/theme1.xml" /><Relationship Type="http://schemas.openxmlformats.org/officeDocument/2006/relationships/footnotes" Id="rId9" Target="footnotes.xml" /><Relationship Type="http://schemas.openxmlformats.org/officeDocument/2006/relationships/comments" Id="rId8" Target="comments.xml" /><Relationship Id="rId7" Target="footer1.xml" Type="http://schemas.openxmlformats.org/officeDocument/2006/relationships/footer" /><Relationship Id="rId6" Target="header1.xml" Type="http://schemas.openxmlformats.org/officeDocument/2006/relationships/header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notes.xml.rels><?xml version="1.0" encoding="UTF-8"?><Relationships xmlns="http://schemas.openxmlformats.org/package/2006/relationships" /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0</Words>
  <Characters>46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C. Steinweg Group</Company>
  <LinksUpToDate>false</LinksUpToDate>
  <CharactersWithSpaces>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2026-10-29T15:42:10Z</dcterms:created>
  <dcterms:modified xsi:type="dcterms:W3CDTF">2026-10-29T15:42:10Z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